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624" w:beforeLines="200" w:after="312" w:afterLines="100" w:line="360" w:lineRule="auto"/>
        <w:jc w:val="center"/>
        <w:rPr>
          <w:rFonts w:asciiTheme="minorEastAsia" w:hAnsiTheme="minorEastAsia" w:eastAsiaTheme="minorEastAsia"/>
          <w:b/>
          <w:sz w:val="44"/>
          <w:szCs w:val="30"/>
        </w:rPr>
      </w:pPr>
      <w:r>
        <w:rPr>
          <w:rFonts w:hint="eastAsia" w:asciiTheme="minorEastAsia" w:hAnsiTheme="minorEastAsia" w:eastAsiaTheme="minorEastAsia"/>
          <w:b/>
          <w:sz w:val="44"/>
          <w:szCs w:val="30"/>
        </w:rPr>
        <w:t>广东省人民医院数据湖系统（I期）项目需求</w:t>
      </w:r>
    </w:p>
    <w:p>
      <w:pPr>
        <w:pStyle w:val="2"/>
        <w:numPr>
          <w:ilvl w:val="0"/>
          <w:numId w:val="2"/>
        </w:numPr>
        <w:spacing w:before="0" w:after="0" w:line="360" w:lineRule="auto"/>
        <w:rPr>
          <w:rFonts w:asciiTheme="minorEastAsia" w:hAnsiTheme="minorEastAsia" w:eastAsiaTheme="minorEastAsia"/>
          <w:sz w:val="32"/>
          <w:szCs w:val="32"/>
        </w:rPr>
      </w:pPr>
      <w:r>
        <w:rPr>
          <w:rFonts w:hint="eastAsia" w:asciiTheme="minorEastAsia" w:hAnsiTheme="minorEastAsia" w:eastAsiaTheme="minorEastAsia"/>
          <w:sz w:val="32"/>
          <w:szCs w:val="32"/>
        </w:rPr>
        <w:t>项目名称</w:t>
      </w:r>
    </w:p>
    <w:p>
      <w:pPr>
        <w:spacing w:line="360" w:lineRule="auto"/>
        <w:ind w:left="432"/>
        <w:rPr>
          <w:rFonts w:asciiTheme="minorEastAsia" w:hAnsiTheme="minorEastAsia" w:eastAsiaTheme="minorEastAsia"/>
          <w:sz w:val="22"/>
        </w:rPr>
      </w:pPr>
      <w:r>
        <w:rPr>
          <w:rFonts w:hint="eastAsia" w:asciiTheme="minorEastAsia" w:hAnsiTheme="minorEastAsia" w:eastAsiaTheme="minorEastAsia"/>
        </w:rPr>
        <w:t>项目名称：广东省人民医院数据湖系统（I期）项目</w:t>
      </w:r>
    </w:p>
    <w:p>
      <w:pPr>
        <w:pStyle w:val="2"/>
        <w:numPr>
          <w:ilvl w:val="0"/>
          <w:numId w:val="2"/>
        </w:numPr>
        <w:spacing w:before="0" w:after="0" w:line="360" w:lineRule="auto"/>
        <w:rPr>
          <w:rFonts w:asciiTheme="minorEastAsia" w:hAnsiTheme="minorEastAsia" w:eastAsiaTheme="minorEastAsia"/>
        </w:rPr>
      </w:pPr>
      <w:r>
        <w:rPr>
          <w:rFonts w:hint="eastAsia" w:asciiTheme="minorEastAsia" w:hAnsiTheme="minorEastAsia" w:eastAsiaTheme="minorEastAsia"/>
          <w:sz w:val="32"/>
          <w:szCs w:val="32"/>
          <w:lang w:val="en-US" w:eastAsia="zh-CN"/>
        </w:rPr>
        <w:t>采购清单</w:t>
      </w:r>
    </w:p>
    <w:p>
      <w:pPr>
        <w:spacing w:line="360" w:lineRule="auto"/>
        <w:rPr>
          <w:rFonts w:asciiTheme="minorEastAsia" w:hAnsiTheme="minorEastAsia" w:eastAsiaTheme="minorEastAsia"/>
        </w:rPr>
      </w:pPr>
      <w:r>
        <w:rPr>
          <w:rFonts w:hint="eastAsia" w:asciiTheme="minorEastAsia" w:hAnsiTheme="minorEastAsia" w:eastAsiaTheme="minorEastAsia"/>
        </w:rPr>
        <w:t>系统各子模块及功能如下：</w:t>
      </w:r>
      <w:r>
        <w:rPr>
          <w:rFonts w:asciiTheme="minorEastAsia" w:hAnsiTheme="minorEastAsia" w:eastAsiaTheme="minorEastAsia"/>
        </w:rPr>
        <w:tab/>
      </w:r>
      <w:r>
        <w:rPr>
          <w:rFonts w:asciiTheme="minorEastAsia" w:hAnsiTheme="minorEastAsia" w:eastAsiaTheme="minorEastAsia"/>
        </w:rPr>
        <w:tab/>
      </w:r>
    </w:p>
    <w:tbl>
      <w:tblPr>
        <w:tblStyle w:val="12"/>
        <w:tblW w:w="4998" w:type="pct"/>
        <w:jc w:val="center"/>
        <w:tblLayout w:type="autofit"/>
        <w:tblCellMar>
          <w:top w:w="0" w:type="dxa"/>
          <w:left w:w="108" w:type="dxa"/>
          <w:bottom w:w="0" w:type="dxa"/>
          <w:right w:w="108" w:type="dxa"/>
        </w:tblCellMar>
      </w:tblPr>
      <w:tblGrid>
        <w:gridCol w:w="1096"/>
        <w:gridCol w:w="2196"/>
        <w:gridCol w:w="3076"/>
        <w:gridCol w:w="2914"/>
      </w:tblGrid>
      <w:tr>
        <w:tblPrEx>
          <w:tblCellMar>
            <w:top w:w="0" w:type="dxa"/>
            <w:left w:w="108" w:type="dxa"/>
            <w:bottom w:w="0" w:type="dxa"/>
            <w:right w:w="108" w:type="dxa"/>
          </w:tblCellMar>
        </w:tblPrEx>
        <w:trPr>
          <w:trHeight w:val="280" w:hRule="atLeast"/>
          <w:tblHeader/>
          <w:jc w:val="center"/>
        </w:trPr>
        <w:tc>
          <w:tcPr>
            <w:tcW w:w="485" w:type="pct"/>
            <w:tcBorders>
              <w:top w:val="single" w:color="auto" w:sz="4" w:space="0"/>
              <w:left w:val="single" w:color="auto" w:sz="4" w:space="0"/>
              <w:bottom w:val="single" w:color="auto" w:sz="4" w:space="0"/>
              <w:right w:val="single" w:color="auto" w:sz="4" w:space="0"/>
            </w:tcBorders>
            <w:shd w:val="clear" w:color="000000" w:fill="B4C6E7"/>
            <w:noWrap/>
            <w:vAlign w:val="center"/>
          </w:tcPr>
          <w:p>
            <w:pPr>
              <w:snapToGrid w:val="0"/>
              <w:jc w:val="center"/>
              <w:textAlignment w:val="baseline"/>
              <w:rPr>
                <w:rFonts w:asciiTheme="minorEastAsia" w:hAnsiTheme="minorEastAsia" w:eastAsiaTheme="minorEastAsia"/>
                <w:sz w:val="20"/>
              </w:rPr>
            </w:pPr>
            <w:r>
              <w:rPr>
                <w:rFonts w:hint="eastAsia" w:asciiTheme="minorEastAsia" w:hAnsiTheme="minorEastAsia" w:eastAsiaTheme="minorEastAsia"/>
                <w:sz w:val="22"/>
              </w:rPr>
              <w:t>模块</w:t>
            </w:r>
          </w:p>
        </w:tc>
        <w:tc>
          <w:tcPr>
            <w:tcW w:w="979" w:type="pct"/>
            <w:tcBorders>
              <w:top w:val="single" w:color="auto" w:sz="4" w:space="0"/>
              <w:left w:val="nil"/>
              <w:bottom w:val="single" w:color="auto" w:sz="4" w:space="0"/>
              <w:right w:val="single" w:color="auto" w:sz="4" w:space="0"/>
            </w:tcBorders>
            <w:shd w:val="clear" w:color="000000" w:fill="B4C6E7"/>
            <w:noWrap/>
            <w:vAlign w:val="center"/>
          </w:tcPr>
          <w:p>
            <w:pPr>
              <w:snapToGrid w:val="0"/>
              <w:jc w:val="center"/>
              <w:textAlignment w:val="baseline"/>
              <w:rPr>
                <w:rFonts w:asciiTheme="minorEastAsia" w:hAnsiTheme="minorEastAsia" w:eastAsiaTheme="minorEastAsia"/>
                <w:sz w:val="20"/>
              </w:rPr>
            </w:pPr>
            <w:r>
              <w:rPr>
                <w:rFonts w:hint="eastAsia" w:asciiTheme="minorEastAsia" w:hAnsiTheme="minorEastAsia" w:eastAsiaTheme="minorEastAsia"/>
                <w:sz w:val="22"/>
              </w:rPr>
              <w:t>子模块</w:t>
            </w:r>
          </w:p>
        </w:tc>
        <w:tc>
          <w:tcPr>
            <w:tcW w:w="1767" w:type="pct"/>
            <w:tcBorders>
              <w:top w:val="single" w:color="auto" w:sz="4" w:space="0"/>
              <w:left w:val="nil"/>
              <w:bottom w:val="single" w:color="auto" w:sz="4" w:space="0"/>
              <w:right w:val="single" w:color="auto" w:sz="4" w:space="0"/>
            </w:tcBorders>
            <w:shd w:val="clear" w:color="000000" w:fill="B4C6E7"/>
            <w:noWrap/>
            <w:vAlign w:val="center"/>
          </w:tcPr>
          <w:p>
            <w:pPr>
              <w:snapToGrid w:val="0"/>
              <w:jc w:val="center"/>
              <w:textAlignment w:val="baseline"/>
              <w:rPr>
                <w:rFonts w:asciiTheme="minorEastAsia" w:hAnsiTheme="minorEastAsia" w:eastAsiaTheme="minorEastAsia"/>
                <w:sz w:val="20"/>
              </w:rPr>
            </w:pPr>
            <w:r>
              <w:rPr>
                <w:rFonts w:hint="eastAsia" w:asciiTheme="minorEastAsia" w:hAnsiTheme="minorEastAsia" w:eastAsiaTheme="minorEastAsia"/>
                <w:sz w:val="22"/>
              </w:rPr>
              <w:t>功能项</w:t>
            </w:r>
          </w:p>
        </w:tc>
        <w:tc>
          <w:tcPr>
            <w:tcW w:w="1767" w:type="pct"/>
            <w:tcBorders>
              <w:top w:val="single" w:color="auto" w:sz="4" w:space="0"/>
              <w:left w:val="nil"/>
              <w:bottom w:val="single" w:color="auto" w:sz="4" w:space="0"/>
              <w:right w:val="single" w:color="auto" w:sz="4" w:space="0"/>
            </w:tcBorders>
            <w:shd w:val="clear" w:color="000000" w:fill="B4C6E7"/>
            <w:noWrap/>
            <w:vAlign w:val="center"/>
          </w:tcPr>
          <w:p>
            <w:pPr>
              <w:snapToGrid w:val="0"/>
              <w:jc w:val="center"/>
              <w:textAlignment w:val="baseline"/>
              <w:rPr>
                <w:rFonts w:hint="eastAsia" w:asciiTheme="minorEastAsia" w:hAnsiTheme="minorEastAsia" w:eastAsiaTheme="minorEastAsia"/>
                <w:sz w:val="22"/>
                <w:lang w:val="en-US" w:eastAsia="zh-CN"/>
              </w:rPr>
            </w:pPr>
            <w:r>
              <w:rPr>
                <w:rFonts w:hint="eastAsia" w:asciiTheme="minorEastAsia" w:hAnsiTheme="minorEastAsia" w:eastAsiaTheme="minorEastAsia"/>
                <w:sz w:val="22"/>
                <w:lang w:val="en-US" w:eastAsia="zh-CN"/>
              </w:rPr>
              <w:t>备注</w:t>
            </w:r>
          </w:p>
        </w:tc>
      </w:tr>
      <w:tr>
        <w:tblPrEx>
          <w:tblCellMar>
            <w:top w:w="0" w:type="dxa"/>
            <w:left w:w="108" w:type="dxa"/>
            <w:bottom w:w="0" w:type="dxa"/>
            <w:right w:w="108" w:type="dxa"/>
          </w:tblCellMar>
        </w:tblPrEx>
        <w:trPr>
          <w:trHeight w:val="280" w:hRule="atLeast"/>
          <w:jc w:val="center"/>
        </w:trPr>
        <w:tc>
          <w:tcPr>
            <w:tcW w:w="485" w:type="pct"/>
            <w:vMerge w:val="restart"/>
            <w:tcBorders>
              <w:top w:val="nil"/>
              <w:left w:val="single" w:color="auto" w:sz="4" w:space="0"/>
              <w:right w:val="single" w:color="auto" w:sz="4" w:space="0"/>
            </w:tcBorders>
            <w:shd w:val="clear" w:color="auto" w:fill="auto"/>
            <w:noWrap/>
            <w:vAlign w:val="center"/>
          </w:tcPr>
          <w:p>
            <w:pPr>
              <w:snapToGrid w:val="0"/>
              <w:jc w:val="center"/>
              <w:textAlignment w:val="baseline"/>
              <w:rPr>
                <w:rFonts w:asciiTheme="minorEastAsia" w:hAnsiTheme="minorEastAsia" w:eastAsiaTheme="minorEastAsia"/>
                <w:sz w:val="20"/>
              </w:rPr>
            </w:pPr>
            <w:r>
              <w:rPr>
                <w:rFonts w:hint="eastAsia" w:asciiTheme="minorEastAsia" w:hAnsiTheme="minorEastAsia" w:eastAsiaTheme="minorEastAsia"/>
                <w:sz w:val="22"/>
              </w:rPr>
              <w:t>数据湖</w:t>
            </w:r>
          </w:p>
        </w:tc>
        <w:tc>
          <w:tcPr>
            <w:tcW w:w="979" w:type="pct"/>
            <w:vMerge w:val="restart"/>
            <w:tcBorders>
              <w:top w:val="nil"/>
              <w:left w:val="single" w:color="auto" w:sz="4" w:space="0"/>
              <w:bottom w:val="single" w:color="000000" w:sz="4" w:space="0"/>
              <w:right w:val="single" w:color="auto" w:sz="4" w:space="0"/>
            </w:tcBorders>
            <w:shd w:val="clear" w:color="auto" w:fill="auto"/>
            <w:noWrap/>
            <w:vAlign w:val="center"/>
          </w:tcPr>
          <w:p>
            <w:pPr>
              <w:snapToGrid w:val="0"/>
              <w:jc w:val="center"/>
              <w:textAlignment w:val="baseline"/>
              <w:rPr>
                <w:rFonts w:asciiTheme="minorEastAsia" w:hAnsiTheme="minorEastAsia" w:eastAsiaTheme="minorEastAsia"/>
                <w:sz w:val="20"/>
              </w:rPr>
            </w:pPr>
            <w:r>
              <w:rPr>
                <w:rFonts w:hint="eastAsia" w:asciiTheme="minorEastAsia" w:hAnsiTheme="minorEastAsia" w:eastAsiaTheme="minorEastAsia"/>
                <w:sz w:val="22"/>
              </w:rPr>
              <w:t>数据湖基础平台</w:t>
            </w: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asciiTheme="minorEastAsia" w:hAnsiTheme="minorEastAsia" w:eastAsiaTheme="minorEastAsia"/>
                <w:sz w:val="20"/>
              </w:rPr>
            </w:pPr>
            <w:r>
              <w:rPr>
                <w:rFonts w:hint="eastAsia" w:asciiTheme="minorEastAsia" w:hAnsiTheme="minorEastAsia" w:eastAsiaTheme="minorEastAsia"/>
                <w:sz w:val="22"/>
              </w:rPr>
              <w:t>全景式采集</w:t>
            </w: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hint="default" w:asciiTheme="minorEastAsia" w:hAnsiTheme="minorEastAsia" w:eastAsiaTheme="minorEastAsia"/>
                <w:sz w:val="22"/>
                <w:lang w:val="en-US" w:eastAsia="zh-CN"/>
              </w:rPr>
            </w:pPr>
            <w:r>
              <w:rPr>
                <w:rFonts w:hint="eastAsia" w:asciiTheme="minorEastAsia" w:hAnsiTheme="minorEastAsia" w:eastAsiaTheme="minorEastAsia"/>
                <w:sz w:val="22"/>
                <w:lang w:val="en-US" w:eastAsia="zh-CN"/>
              </w:rPr>
              <w:t>详见（三）项目内容</w:t>
            </w:r>
          </w:p>
        </w:tc>
      </w:tr>
      <w:tr>
        <w:tblPrEx>
          <w:tblCellMar>
            <w:top w:w="0" w:type="dxa"/>
            <w:left w:w="108" w:type="dxa"/>
            <w:bottom w:w="0" w:type="dxa"/>
            <w:right w:w="108" w:type="dxa"/>
          </w:tblCellMar>
        </w:tblPrEx>
        <w:trPr>
          <w:trHeight w:val="280" w:hRule="atLeast"/>
          <w:jc w:val="center"/>
        </w:trPr>
        <w:tc>
          <w:tcPr>
            <w:tcW w:w="485" w:type="pct"/>
            <w:vMerge w:val="continue"/>
            <w:tcBorders>
              <w:left w:val="single" w:color="auto" w:sz="4" w:space="0"/>
              <w:right w:val="single" w:color="auto" w:sz="4" w:space="0"/>
            </w:tcBorders>
            <w:vAlign w:val="center"/>
          </w:tcPr>
          <w:p>
            <w:pPr>
              <w:snapToGrid w:val="0"/>
              <w:textAlignment w:val="baseline"/>
              <w:rPr>
                <w:rFonts w:asciiTheme="minorEastAsia" w:hAnsiTheme="minorEastAsia" w:eastAsiaTheme="minorEastAsia"/>
                <w:sz w:val="20"/>
              </w:rPr>
            </w:pPr>
          </w:p>
        </w:tc>
        <w:tc>
          <w:tcPr>
            <w:tcW w:w="979" w:type="pct"/>
            <w:vMerge w:val="continue"/>
            <w:tcBorders>
              <w:top w:val="nil"/>
              <w:left w:val="single" w:color="auto" w:sz="4" w:space="0"/>
              <w:bottom w:val="single" w:color="000000" w:sz="4" w:space="0"/>
              <w:right w:val="single" w:color="auto" w:sz="4" w:space="0"/>
            </w:tcBorders>
            <w:vAlign w:val="center"/>
          </w:tcPr>
          <w:p>
            <w:pPr>
              <w:snapToGrid w:val="0"/>
              <w:textAlignment w:val="baseline"/>
              <w:rPr>
                <w:rFonts w:asciiTheme="minorEastAsia" w:hAnsiTheme="minorEastAsia" w:eastAsiaTheme="minorEastAsia"/>
                <w:sz w:val="20"/>
              </w:rPr>
            </w:pP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asciiTheme="minorEastAsia" w:hAnsiTheme="minorEastAsia" w:eastAsiaTheme="minorEastAsia"/>
                <w:sz w:val="20"/>
              </w:rPr>
            </w:pPr>
            <w:r>
              <w:rPr>
                <w:rFonts w:hint="eastAsia" w:asciiTheme="minorEastAsia" w:hAnsiTheme="minorEastAsia" w:eastAsiaTheme="minorEastAsia"/>
                <w:sz w:val="22"/>
              </w:rPr>
              <w:t>数据虚拟化</w:t>
            </w: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hint="eastAsia" w:asciiTheme="minorEastAsia" w:hAnsiTheme="minorEastAsia" w:eastAsiaTheme="minorEastAsia"/>
                <w:sz w:val="22"/>
              </w:rPr>
            </w:pPr>
            <w:r>
              <w:rPr>
                <w:rFonts w:hint="eastAsia" w:asciiTheme="minorEastAsia" w:hAnsiTheme="minorEastAsia" w:eastAsiaTheme="minorEastAsia"/>
                <w:sz w:val="22"/>
                <w:lang w:val="en-US" w:eastAsia="zh-CN"/>
              </w:rPr>
              <w:t>详见（三）项目内容</w:t>
            </w:r>
          </w:p>
        </w:tc>
      </w:tr>
      <w:tr>
        <w:tblPrEx>
          <w:tblCellMar>
            <w:top w:w="0" w:type="dxa"/>
            <w:left w:w="108" w:type="dxa"/>
            <w:bottom w:w="0" w:type="dxa"/>
            <w:right w:w="108" w:type="dxa"/>
          </w:tblCellMar>
        </w:tblPrEx>
        <w:trPr>
          <w:trHeight w:val="280" w:hRule="atLeast"/>
          <w:jc w:val="center"/>
        </w:trPr>
        <w:tc>
          <w:tcPr>
            <w:tcW w:w="485" w:type="pct"/>
            <w:vMerge w:val="continue"/>
            <w:tcBorders>
              <w:left w:val="single" w:color="auto" w:sz="4" w:space="0"/>
              <w:right w:val="single" w:color="auto" w:sz="4" w:space="0"/>
            </w:tcBorders>
            <w:vAlign w:val="center"/>
          </w:tcPr>
          <w:p>
            <w:pPr>
              <w:snapToGrid w:val="0"/>
              <w:textAlignment w:val="baseline"/>
              <w:rPr>
                <w:rFonts w:asciiTheme="minorEastAsia" w:hAnsiTheme="minorEastAsia" w:eastAsiaTheme="minorEastAsia"/>
                <w:sz w:val="20"/>
              </w:rPr>
            </w:pPr>
          </w:p>
        </w:tc>
        <w:tc>
          <w:tcPr>
            <w:tcW w:w="979" w:type="pct"/>
            <w:vMerge w:val="continue"/>
            <w:tcBorders>
              <w:top w:val="nil"/>
              <w:left w:val="single" w:color="auto" w:sz="4" w:space="0"/>
              <w:bottom w:val="single" w:color="000000" w:sz="4" w:space="0"/>
              <w:right w:val="single" w:color="auto" w:sz="4" w:space="0"/>
            </w:tcBorders>
            <w:vAlign w:val="center"/>
          </w:tcPr>
          <w:p>
            <w:pPr>
              <w:snapToGrid w:val="0"/>
              <w:textAlignment w:val="baseline"/>
              <w:rPr>
                <w:rFonts w:asciiTheme="minorEastAsia" w:hAnsiTheme="minorEastAsia" w:eastAsiaTheme="minorEastAsia"/>
                <w:sz w:val="20"/>
              </w:rPr>
            </w:pP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asciiTheme="minorEastAsia" w:hAnsiTheme="minorEastAsia" w:eastAsiaTheme="minorEastAsia"/>
                <w:sz w:val="20"/>
              </w:rPr>
            </w:pPr>
            <w:r>
              <w:rPr>
                <w:rFonts w:hint="eastAsia" w:asciiTheme="minorEastAsia" w:hAnsiTheme="minorEastAsia" w:eastAsiaTheme="minorEastAsia"/>
                <w:sz w:val="22"/>
              </w:rPr>
              <w:t>流批一体架构</w:t>
            </w: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hint="eastAsia" w:asciiTheme="minorEastAsia" w:hAnsiTheme="minorEastAsia" w:eastAsiaTheme="minorEastAsia"/>
                <w:sz w:val="22"/>
              </w:rPr>
            </w:pPr>
            <w:r>
              <w:rPr>
                <w:rFonts w:hint="eastAsia" w:asciiTheme="minorEastAsia" w:hAnsiTheme="minorEastAsia" w:eastAsiaTheme="minorEastAsia"/>
                <w:sz w:val="22"/>
                <w:lang w:val="en-US" w:eastAsia="zh-CN"/>
              </w:rPr>
              <w:t>详见（三）项目内容</w:t>
            </w:r>
          </w:p>
        </w:tc>
      </w:tr>
      <w:tr>
        <w:tblPrEx>
          <w:tblCellMar>
            <w:top w:w="0" w:type="dxa"/>
            <w:left w:w="108" w:type="dxa"/>
            <w:bottom w:w="0" w:type="dxa"/>
            <w:right w:w="108" w:type="dxa"/>
          </w:tblCellMar>
        </w:tblPrEx>
        <w:trPr>
          <w:trHeight w:val="280" w:hRule="atLeast"/>
          <w:jc w:val="center"/>
        </w:trPr>
        <w:tc>
          <w:tcPr>
            <w:tcW w:w="485" w:type="pct"/>
            <w:vMerge w:val="continue"/>
            <w:tcBorders>
              <w:left w:val="single" w:color="auto" w:sz="4" w:space="0"/>
              <w:right w:val="single" w:color="auto" w:sz="4" w:space="0"/>
            </w:tcBorders>
            <w:vAlign w:val="center"/>
          </w:tcPr>
          <w:p>
            <w:pPr>
              <w:snapToGrid w:val="0"/>
              <w:textAlignment w:val="baseline"/>
              <w:rPr>
                <w:rFonts w:asciiTheme="minorEastAsia" w:hAnsiTheme="minorEastAsia" w:eastAsiaTheme="minorEastAsia"/>
                <w:sz w:val="20"/>
              </w:rPr>
            </w:pPr>
          </w:p>
        </w:tc>
        <w:tc>
          <w:tcPr>
            <w:tcW w:w="979" w:type="pct"/>
            <w:vMerge w:val="continue"/>
            <w:tcBorders>
              <w:top w:val="nil"/>
              <w:left w:val="single" w:color="auto" w:sz="4" w:space="0"/>
              <w:bottom w:val="single" w:color="000000" w:sz="4" w:space="0"/>
              <w:right w:val="single" w:color="auto" w:sz="4" w:space="0"/>
            </w:tcBorders>
            <w:vAlign w:val="center"/>
          </w:tcPr>
          <w:p>
            <w:pPr>
              <w:snapToGrid w:val="0"/>
              <w:textAlignment w:val="baseline"/>
              <w:rPr>
                <w:rFonts w:asciiTheme="minorEastAsia" w:hAnsiTheme="minorEastAsia" w:eastAsiaTheme="minorEastAsia"/>
                <w:sz w:val="20"/>
              </w:rPr>
            </w:pP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asciiTheme="minorEastAsia" w:hAnsiTheme="minorEastAsia" w:eastAsiaTheme="minorEastAsia"/>
                <w:sz w:val="20"/>
              </w:rPr>
            </w:pPr>
            <w:r>
              <w:rPr>
                <w:rFonts w:hint="eastAsia" w:asciiTheme="minorEastAsia" w:hAnsiTheme="minorEastAsia" w:eastAsiaTheme="minorEastAsia"/>
                <w:sz w:val="22"/>
              </w:rPr>
              <w:t>湖仓一体架构</w:t>
            </w: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hint="eastAsia" w:asciiTheme="minorEastAsia" w:hAnsiTheme="minorEastAsia" w:eastAsiaTheme="minorEastAsia"/>
                <w:sz w:val="22"/>
              </w:rPr>
            </w:pPr>
            <w:r>
              <w:rPr>
                <w:rFonts w:hint="eastAsia" w:asciiTheme="minorEastAsia" w:hAnsiTheme="minorEastAsia" w:eastAsiaTheme="minorEastAsia"/>
                <w:sz w:val="22"/>
                <w:lang w:val="en-US" w:eastAsia="zh-CN"/>
              </w:rPr>
              <w:t>详见（三）项目内容</w:t>
            </w:r>
          </w:p>
        </w:tc>
      </w:tr>
      <w:tr>
        <w:tblPrEx>
          <w:tblCellMar>
            <w:top w:w="0" w:type="dxa"/>
            <w:left w:w="108" w:type="dxa"/>
            <w:bottom w:w="0" w:type="dxa"/>
            <w:right w:w="108" w:type="dxa"/>
          </w:tblCellMar>
        </w:tblPrEx>
        <w:trPr>
          <w:trHeight w:val="280" w:hRule="atLeast"/>
          <w:jc w:val="center"/>
        </w:trPr>
        <w:tc>
          <w:tcPr>
            <w:tcW w:w="485" w:type="pct"/>
            <w:vMerge w:val="continue"/>
            <w:tcBorders>
              <w:left w:val="single" w:color="auto" w:sz="4" w:space="0"/>
              <w:right w:val="single" w:color="auto" w:sz="4" w:space="0"/>
            </w:tcBorders>
            <w:vAlign w:val="center"/>
          </w:tcPr>
          <w:p>
            <w:pPr>
              <w:snapToGrid w:val="0"/>
              <w:textAlignment w:val="baseline"/>
              <w:rPr>
                <w:rFonts w:asciiTheme="minorEastAsia" w:hAnsiTheme="minorEastAsia" w:eastAsiaTheme="minorEastAsia"/>
                <w:sz w:val="20"/>
              </w:rPr>
            </w:pPr>
          </w:p>
        </w:tc>
        <w:tc>
          <w:tcPr>
            <w:tcW w:w="979" w:type="pct"/>
            <w:vMerge w:val="continue"/>
            <w:tcBorders>
              <w:top w:val="nil"/>
              <w:left w:val="single" w:color="auto" w:sz="4" w:space="0"/>
              <w:bottom w:val="single" w:color="000000" w:sz="4" w:space="0"/>
              <w:right w:val="single" w:color="auto" w:sz="4" w:space="0"/>
            </w:tcBorders>
            <w:vAlign w:val="center"/>
          </w:tcPr>
          <w:p>
            <w:pPr>
              <w:snapToGrid w:val="0"/>
              <w:textAlignment w:val="baseline"/>
              <w:rPr>
                <w:rFonts w:asciiTheme="minorEastAsia" w:hAnsiTheme="minorEastAsia" w:eastAsiaTheme="minorEastAsia"/>
                <w:sz w:val="20"/>
              </w:rPr>
            </w:pP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asciiTheme="minorEastAsia" w:hAnsiTheme="minorEastAsia" w:eastAsiaTheme="minorEastAsia"/>
                <w:sz w:val="20"/>
              </w:rPr>
            </w:pPr>
            <w:r>
              <w:rPr>
                <w:rFonts w:hint="eastAsia" w:asciiTheme="minorEastAsia" w:hAnsiTheme="minorEastAsia" w:eastAsiaTheme="minorEastAsia"/>
                <w:sz w:val="22"/>
              </w:rPr>
              <w:t>国产化开源化</w:t>
            </w: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hint="eastAsia" w:asciiTheme="minorEastAsia" w:hAnsiTheme="minorEastAsia" w:eastAsiaTheme="minorEastAsia"/>
                <w:sz w:val="22"/>
              </w:rPr>
            </w:pPr>
            <w:r>
              <w:rPr>
                <w:rFonts w:hint="eastAsia" w:asciiTheme="minorEastAsia" w:hAnsiTheme="minorEastAsia" w:eastAsiaTheme="minorEastAsia"/>
                <w:sz w:val="22"/>
                <w:lang w:val="en-US" w:eastAsia="zh-CN"/>
              </w:rPr>
              <w:t>详见（三）项目内容</w:t>
            </w:r>
          </w:p>
        </w:tc>
      </w:tr>
      <w:tr>
        <w:tblPrEx>
          <w:tblCellMar>
            <w:top w:w="0" w:type="dxa"/>
            <w:left w:w="108" w:type="dxa"/>
            <w:bottom w:w="0" w:type="dxa"/>
            <w:right w:w="108" w:type="dxa"/>
          </w:tblCellMar>
        </w:tblPrEx>
        <w:trPr>
          <w:trHeight w:val="280" w:hRule="atLeast"/>
          <w:jc w:val="center"/>
        </w:trPr>
        <w:tc>
          <w:tcPr>
            <w:tcW w:w="485" w:type="pct"/>
            <w:vMerge w:val="continue"/>
            <w:tcBorders>
              <w:left w:val="single" w:color="auto" w:sz="4" w:space="0"/>
              <w:right w:val="single" w:color="auto" w:sz="4" w:space="0"/>
            </w:tcBorders>
            <w:vAlign w:val="center"/>
          </w:tcPr>
          <w:p>
            <w:pPr>
              <w:snapToGrid w:val="0"/>
              <w:textAlignment w:val="baseline"/>
              <w:rPr>
                <w:rFonts w:asciiTheme="minorEastAsia" w:hAnsiTheme="minorEastAsia" w:eastAsiaTheme="minorEastAsia"/>
                <w:sz w:val="20"/>
              </w:rPr>
            </w:pPr>
          </w:p>
        </w:tc>
        <w:tc>
          <w:tcPr>
            <w:tcW w:w="979" w:type="pct"/>
            <w:vMerge w:val="restart"/>
            <w:tcBorders>
              <w:top w:val="nil"/>
              <w:left w:val="single" w:color="auto" w:sz="4" w:space="0"/>
              <w:bottom w:val="single" w:color="000000" w:sz="4" w:space="0"/>
              <w:right w:val="single" w:color="auto" w:sz="4" w:space="0"/>
            </w:tcBorders>
            <w:shd w:val="clear" w:color="auto" w:fill="auto"/>
            <w:noWrap/>
            <w:vAlign w:val="center"/>
          </w:tcPr>
          <w:p>
            <w:pPr>
              <w:snapToGrid w:val="0"/>
              <w:jc w:val="center"/>
              <w:textAlignment w:val="baseline"/>
              <w:rPr>
                <w:rFonts w:asciiTheme="minorEastAsia" w:hAnsiTheme="minorEastAsia" w:eastAsiaTheme="minorEastAsia"/>
                <w:sz w:val="20"/>
              </w:rPr>
            </w:pPr>
            <w:r>
              <w:rPr>
                <w:rFonts w:hint="eastAsia" w:asciiTheme="minorEastAsia" w:hAnsiTheme="minorEastAsia" w:eastAsiaTheme="minorEastAsia"/>
                <w:sz w:val="22"/>
              </w:rPr>
              <w:t>数据湖治理平台</w:t>
            </w: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asciiTheme="minorEastAsia" w:hAnsiTheme="minorEastAsia" w:eastAsiaTheme="minorEastAsia"/>
                <w:sz w:val="20"/>
              </w:rPr>
            </w:pPr>
            <w:r>
              <w:rPr>
                <w:rFonts w:hint="eastAsia" w:asciiTheme="minorEastAsia" w:hAnsiTheme="minorEastAsia" w:eastAsiaTheme="minorEastAsia"/>
                <w:sz w:val="22"/>
              </w:rPr>
              <w:t>数据转模</w:t>
            </w: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hint="eastAsia" w:asciiTheme="minorEastAsia" w:hAnsiTheme="minorEastAsia" w:eastAsiaTheme="minorEastAsia"/>
                <w:sz w:val="22"/>
              </w:rPr>
            </w:pPr>
            <w:r>
              <w:rPr>
                <w:rFonts w:hint="eastAsia" w:asciiTheme="minorEastAsia" w:hAnsiTheme="minorEastAsia" w:eastAsiaTheme="minorEastAsia"/>
                <w:sz w:val="22"/>
                <w:lang w:val="en-US" w:eastAsia="zh-CN"/>
              </w:rPr>
              <w:t>详见（三）项目内容</w:t>
            </w:r>
          </w:p>
        </w:tc>
      </w:tr>
      <w:tr>
        <w:tblPrEx>
          <w:tblCellMar>
            <w:top w:w="0" w:type="dxa"/>
            <w:left w:w="108" w:type="dxa"/>
            <w:bottom w:w="0" w:type="dxa"/>
            <w:right w:w="108" w:type="dxa"/>
          </w:tblCellMar>
        </w:tblPrEx>
        <w:trPr>
          <w:trHeight w:val="280" w:hRule="atLeast"/>
          <w:jc w:val="center"/>
        </w:trPr>
        <w:tc>
          <w:tcPr>
            <w:tcW w:w="485" w:type="pct"/>
            <w:vMerge w:val="continue"/>
            <w:tcBorders>
              <w:left w:val="single" w:color="auto" w:sz="4" w:space="0"/>
              <w:right w:val="single" w:color="auto" w:sz="4" w:space="0"/>
            </w:tcBorders>
            <w:vAlign w:val="center"/>
          </w:tcPr>
          <w:p>
            <w:pPr>
              <w:snapToGrid w:val="0"/>
              <w:textAlignment w:val="baseline"/>
              <w:rPr>
                <w:rFonts w:asciiTheme="minorEastAsia" w:hAnsiTheme="minorEastAsia" w:eastAsiaTheme="minorEastAsia"/>
                <w:sz w:val="20"/>
              </w:rPr>
            </w:pPr>
          </w:p>
        </w:tc>
        <w:tc>
          <w:tcPr>
            <w:tcW w:w="979" w:type="pct"/>
            <w:vMerge w:val="continue"/>
            <w:tcBorders>
              <w:top w:val="nil"/>
              <w:left w:val="single" w:color="auto" w:sz="4" w:space="0"/>
              <w:bottom w:val="single" w:color="000000" w:sz="4" w:space="0"/>
              <w:right w:val="single" w:color="auto" w:sz="4" w:space="0"/>
            </w:tcBorders>
            <w:vAlign w:val="center"/>
          </w:tcPr>
          <w:p>
            <w:pPr>
              <w:snapToGrid w:val="0"/>
              <w:textAlignment w:val="baseline"/>
              <w:rPr>
                <w:rFonts w:asciiTheme="minorEastAsia" w:hAnsiTheme="minorEastAsia" w:eastAsiaTheme="minorEastAsia"/>
                <w:sz w:val="20"/>
              </w:rPr>
            </w:pP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asciiTheme="minorEastAsia" w:hAnsiTheme="minorEastAsia" w:eastAsiaTheme="minorEastAsia"/>
                <w:sz w:val="20"/>
              </w:rPr>
            </w:pPr>
            <w:r>
              <w:rPr>
                <w:rFonts w:hint="eastAsia" w:asciiTheme="minorEastAsia" w:hAnsiTheme="minorEastAsia" w:eastAsiaTheme="minorEastAsia"/>
                <w:sz w:val="22"/>
              </w:rPr>
              <w:t>数据清洗</w:t>
            </w: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hint="eastAsia" w:asciiTheme="minorEastAsia" w:hAnsiTheme="minorEastAsia" w:eastAsiaTheme="minorEastAsia"/>
                <w:sz w:val="22"/>
              </w:rPr>
            </w:pPr>
            <w:r>
              <w:rPr>
                <w:rFonts w:hint="eastAsia" w:asciiTheme="minorEastAsia" w:hAnsiTheme="minorEastAsia" w:eastAsiaTheme="minorEastAsia"/>
                <w:sz w:val="22"/>
                <w:lang w:val="en-US" w:eastAsia="zh-CN"/>
              </w:rPr>
              <w:t>详见（三）项目内容</w:t>
            </w:r>
          </w:p>
        </w:tc>
      </w:tr>
      <w:tr>
        <w:tblPrEx>
          <w:tblCellMar>
            <w:top w:w="0" w:type="dxa"/>
            <w:left w:w="108" w:type="dxa"/>
            <w:bottom w:w="0" w:type="dxa"/>
            <w:right w:w="108" w:type="dxa"/>
          </w:tblCellMar>
        </w:tblPrEx>
        <w:trPr>
          <w:trHeight w:val="280" w:hRule="atLeast"/>
          <w:jc w:val="center"/>
        </w:trPr>
        <w:tc>
          <w:tcPr>
            <w:tcW w:w="485" w:type="pct"/>
            <w:vMerge w:val="continue"/>
            <w:tcBorders>
              <w:left w:val="single" w:color="auto" w:sz="4" w:space="0"/>
              <w:right w:val="single" w:color="auto" w:sz="4" w:space="0"/>
            </w:tcBorders>
            <w:vAlign w:val="center"/>
          </w:tcPr>
          <w:p>
            <w:pPr>
              <w:snapToGrid w:val="0"/>
              <w:textAlignment w:val="baseline"/>
              <w:rPr>
                <w:rFonts w:asciiTheme="minorEastAsia" w:hAnsiTheme="minorEastAsia" w:eastAsiaTheme="minorEastAsia"/>
                <w:sz w:val="20"/>
              </w:rPr>
            </w:pPr>
          </w:p>
        </w:tc>
        <w:tc>
          <w:tcPr>
            <w:tcW w:w="979" w:type="pct"/>
            <w:vMerge w:val="continue"/>
            <w:tcBorders>
              <w:top w:val="nil"/>
              <w:left w:val="single" w:color="auto" w:sz="4" w:space="0"/>
              <w:bottom w:val="single" w:color="000000" w:sz="4" w:space="0"/>
              <w:right w:val="single" w:color="auto" w:sz="4" w:space="0"/>
            </w:tcBorders>
            <w:vAlign w:val="center"/>
          </w:tcPr>
          <w:p>
            <w:pPr>
              <w:snapToGrid w:val="0"/>
              <w:textAlignment w:val="baseline"/>
              <w:rPr>
                <w:rFonts w:asciiTheme="minorEastAsia" w:hAnsiTheme="minorEastAsia" w:eastAsiaTheme="minorEastAsia"/>
                <w:sz w:val="20"/>
              </w:rPr>
            </w:pP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asciiTheme="minorEastAsia" w:hAnsiTheme="minorEastAsia" w:eastAsiaTheme="minorEastAsia"/>
                <w:sz w:val="20"/>
              </w:rPr>
            </w:pPr>
            <w:r>
              <w:rPr>
                <w:rFonts w:hint="eastAsia" w:asciiTheme="minorEastAsia" w:hAnsiTheme="minorEastAsia" w:eastAsiaTheme="minorEastAsia"/>
                <w:sz w:val="22"/>
              </w:rPr>
              <w:t>数据标准</w:t>
            </w: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hint="eastAsia" w:asciiTheme="minorEastAsia" w:hAnsiTheme="minorEastAsia" w:eastAsiaTheme="minorEastAsia"/>
                <w:sz w:val="22"/>
              </w:rPr>
            </w:pPr>
            <w:r>
              <w:rPr>
                <w:rFonts w:hint="eastAsia" w:asciiTheme="minorEastAsia" w:hAnsiTheme="minorEastAsia" w:eastAsiaTheme="minorEastAsia"/>
                <w:sz w:val="22"/>
                <w:lang w:val="en-US" w:eastAsia="zh-CN"/>
              </w:rPr>
              <w:t>详见（三）项目内容</w:t>
            </w:r>
          </w:p>
        </w:tc>
      </w:tr>
      <w:tr>
        <w:tblPrEx>
          <w:tblCellMar>
            <w:top w:w="0" w:type="dxa"/>
            <w:left w:w="108" w:type="dxa"/>
            <w:bottom w:w="0" w:type="dxa"/>
            <w:right w:w="108" w:type="dxa"/>
          </w:tblCellMar>
        </w:tblPrEx>
        <w:trPr>
          <w:trHeight w:val="280" w:hRule="atLeast"/>
          <w:jc w:val="center"/>
        </w:trPr>
        <w:tc>
          <w:tcPr>
            <w:tcW w:w="485" w:type="pct"/>
            <w:vMerge w:val="continue"/>
            <w:tcBorders>
              <w:left w:val="single" w:color="auto" w:sz="4" w:space="0"/>
              <w:right w:val="single" w:color="auto" w:sz="4" w:space="0"/>
            </w:tcBorders>
            <w:vAlign w:val="center"/>
          </w:tcPr>
          <w:p>
            <w:pPr>
              <w:snapToGrid w:val="0"/>
              <w:textAlignment w:val="baseline"/>
              <w:rPr>
                <w:rFonts w:asciiTheme="minorEastAsia" w:hAnsiTheme="minorEastAsia" w:eastAsiaTheme="minorEastAsia"/>
                <w:sz w:val="20"/>
              </w:rPr>
            </w:pPr>
          </w:p>
        </w:tc>
        <w:tc>
          <w:tcPr>
            <w:tcW w:w="979" w:type="pct"/>
            <w:vMerge w:val="continue"/>
            <w:tcBorders>
              <w:top w:val="nil"/>
              <w:left w:val="single" w:color="auto" w:sz="4" w:space="0"/>
              <w:bottom w:val="single" w:color="000000" w:sz="4" w:space="0"/>
              <w:right w:val="single" w:color="auto" w:sz="4" w:space="0"/>
            </w:tcBorders>
            <w:vAlign w:val="center"/>
          </w:tcPr>
          <w:p>
            <w:pPr>
              <w:snapToGrid w:val="0"/>
              <w:textAlignment w:val="baseline"/>
              <w:rPr>
                <w:rFonts w:asciiTheme="minorEastAsia" w:hAnsiTheme="minorEastAsia" w:eastAsiaTheme="minorEastAsia"/>
                <w:sz w:val="20"/>
              </w:rPr>
            </w:pP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asciiTheme="minorEastAsia" w:hAnsiTheme="minorEastAsia" w:eastAsiaTheme="minorEastAsia"/>
                <w:sz w:val="20"/>
              </w:rPr>
            </w:pPr>
            <w:r>
              <w:rPr>
                <w:rFonts w:hint="eastAsia" w:asciiTheme="minorEastAsia" w:hAnsiTheme="minorEastAsia" w:eastAsiaTheme="minorEastAsia"/>
                <w:sz w:val="22"/>
              </w:rPr>
              <w:t>数据结构化</w:t>
            </w: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hint="eastAsia" w:asciiTheme="minorEastAsia" w:hAnsiTheme="minorEastAsia" w:eastAsiaTheme="minorEastAsia"/>
                <w:sz w:val="22"/>
              </w:rPr>
            </w:pPr>
            <w:r>
              <w:rPr>
                <w:rFonts w:hint="eastAsia" w:asciiTheme="minorEastAsia" w:hAnsiTheme="minorEastAsia" w:eastAsiaTheme="minorEastAsia"/>
                <w:sz w:val="22"/>
                <w:lang w:val="en-US" w:eastAsia="zh-CN"/>
              </w:rPr>
              <w:t>详见（三）项目内容</w:t>
            </w:r>
          </w:p>
        </w:tc>
      </w:tr>
      <w:tr>
        <w:tblPrEx>
          <w:tblCellMar>
            <w:top w:w="0" w:type="dxa"/>
            <w:left w:w="108" w:type="dxa"/>
            <w:bottom w:w="0" w:type="dxa"/>
            <w:right w:w="108" w:type="dxa"/>
          </w:tblCellMar>
        </w:tblPrEx>
        <w:trPr>
          <w:trHeight w:val="280" w:hRule="atLeast"/>
          <w:jc w:val="center"/>
        </w:trPr>
        <w:tc>
          <w:tcPr>
            <w:tcW w:w="485" w:type="pct"/>
            <w:vMerge w:val="continue"/>
            <w:tcBorders>
              <w:left w:val="single" w:color="auto" w:sz="4" w:space="0"/>
              <w:right w:val="single" w:color="auto" w:sz="4" w:space="0"/>
            </w:tcBorders>
            <w:vAlign w:val="center"/>
          </w:tcPr>
          <w:p>
            <w:pPr>
              <w:snapToGrid w:val="0"/>
              <w:textAlignment w:val="baseline"/>
              <w:rPr>
                <w:rFonts w:asciiTheme="minorEastAsia" w:hAnsiTheme="minorEastAsia" w:eastAsiaTheme="minorEastAsia"/>
                <w:sz w:val="20"/>
              </w:rPr>
            </w:pPr>
          </w:p>
        </w:tc>
        <w:tc>
          <w:tcPr>
            <w:tcW w:w="979" w:type="pct"/>
            <w:vMerge w:val="continue"/>
            <w:tcBorders>
              <w:top w:val="nil"/>
              <w:left w:val="single" w:color="auto" w:sz="4" w:space="0"/>
              <w:bottom w:val="single" w:color="000000" w:sz="4" w:space="0"/>
              <w:right w:val="single" w:color="auto" w:sz="4" w:space="0"/>
            </w:tcBorders>
            <w:vAlign w:val="center"/>
          </w:tcPr>
          <w:p>
            <w:pPr>
              <w:snapToGrid w:val="0"/>
              <w:textAlignment w:val="baseline"/>
              <w:rPr>
                <w:rFonts w:asciiTheme="minorEastAsia" w:hAnsiTheme="minorEastAsia" w:eastAsiaTheme="minorEastAsia"/>
                <w:sz w:val="20"/>
              </w:rPr>
            </w:pP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asciiTheme="minorEastAsia" w:hAnsiTheme="minorEastAsia" w:eastAsiaTheme="minorEastAsia"/>
                <w:sz w:val="20"/>
              </w:rPr>
            </w:pPr>
            <w:r>
              <w:rPr>
                <w:rFonts w:hint="eastAsia" w:asciiTheme="minorEastAsia" w:hAnsiTheme="minorEastAsia" w:eastAsiaTheme="minorEastAsia"/>
                <w:sz w:val="22"/>
              </w:rPr>
              <w:t>数据时序化</w:t>
            </w: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hint="eastAsia" w:asciiTheme="minorEastAsia" w:hAnsiTheme="minorEastAsia" w:eastAsiaTheme="minorEastAsia"/>
                <w:sz w:val="22"/>
              </w:rPr>
            </w:pPr>
            <w:r>
              <w:rPr>
                <w:rFonts w:hint="eastAsia" w:asciiTheme="minorEastAsia" w:hAnsiTheme="minorEastAsia" w:eastAsiaTheme="minorEastAsia"/>
                <w:sz w:val="22"/>
                <w:lang w:val="en-US" w:eastAsia="zh-CN"/>
              </w:rPr>
              <w:t>详见（三）项目内容</w:t>
            </w:r>
          </w:p>
        </w:tc>
      </w:tr>
      <w:tr>
        <w:tblPrEx>
          <w:tblCellMar>
            <w:top w:w="0" w:type="dxa"/>
            <w:left w:w="108" w:type="dxa"/>
            <w:bottom w:w="0" w:type="dxa"/>
            <w:right w:w="108" w:type="dxa"/>
          </w:tblCellMar>
        </w:tblPrEx>
        <w:trPr>
          <w:trHeight w:val="280" w:hRule="atLeast"/>
          <w:jc w:val="center"/>
        </w:trPr>
        <w:tc>
          <w:tcPr>
            <w:tcW w:w="485" w:type="pct"/>
            <w:vMerge w:val="continue"/>
            <w:tcBorders>
              <w:left w:val="single" w:color="auto" w:sz="4" w:space="0"/>
              <w:right w:val="single" w:color="auto" w:sz="4" w:space="0"/>
            </w:tcBorders>
            <w:vAlign w:val="center"/>
          </w:tcPr>
          <w:p>
            <w:pPr>
              <w:snapToGrid w:val="0"/>
              <w:textAlignment w:val="baseline"/>
              <w:rPr>
                <w:rFonts w:asciiTheme="minorEastAsia" w:hAnsiTheme="minorEastAsia" w:eastAsiaTheme="minorEastAsia"/>
                <w:sz w:val="20"/>
              </w:rPr>
            </w:pPr>
          </w:p>
        </w:tc>
        <w:tc>
          <w:tcPr>
            <w:tcW w:w="979" w:type="pct"/>
            <w:vMerge w:val="restart"/>
            <w:tcBorders>
              <w:top w:val="nil"/>
              <w:left w:val="single" w:color="auto" w:sz="4" w:space="0"/>
              <w:bottom w:val="single" w:color="000000" w:sz="4" w:space="0"/>
              <w:right w:val="single" w:color="auto" w:sz="4" w:space="0"/>
            </w:tcBorders>
            <w:shd w:val="clear" w:color="auto" w:fill="auto"/>
            <w:noWrap/>
            <w:vAlign w:val="center"/>
          </w:tcPr>
          <w:p>
            <w:pPr>
              <w:snapToGrid w:val="0"/>
              <w:jc w:val="center"/>
              <w:textAlignment w:val="baseline"/>
              <w:rPr>
                <w:rFonts w:asciiTheme="minorEastAsia" w:hAnsiTheme="minorEastAsia" w:eastAsiaTheme="minorEastAsia"/>
                <w:sz w:val="20"/>
              </w:rPr>
            </w:pPr>
            <w:r>
              <w:rPr>
                <w:rFonts w:hint="eastAsia" w:asciiTheme="minorEastAsia" w:hAnsiTheme="minorEastAsia" w:eastAsiaTheme="minorEastAsia"/>
                <w:sz w:val="22"/>
              </w:rPr>
              <w:t>数据湖资产平台</w:t>
            </w: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asciiTheme="minorEastAsia" w:hAnsiTheme="minorEastAsia" w:eastAsiaTheme="minorEastAsia"/>
                <w:sz w:val="20"/>
              </w:rPr>
            </w:pPr>
            <w:r>
              <w:rPr>
                <w:rFonts w:hint="eastAsia" w:asciiTheme="minorEastAsia" w:hAnsiTheme="minorEastAsia" w:eastAsiaTheme="minorEastAsia"/>
                <w:sz w:val="22"/>
              </w:rPr>
              <w:t>数据资产编目</w:t>
            </w: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hint="eastAsia" w:asciiTheme="minorEastAsia" w:hAnsiTheme="minorEastAsia" w:eastAsiaTheme="minorEastAsia"/>
                <w:sz w:val="22"/>
              </w:rPr>
            </w:pPr>
            <w:r>
              <w:rPr>
                <w:rFonts w:hint="eastAsia" w:asciiTheme="minorEastAsia" w:hAnsiTheme="minorEastAsia" w:eastAsiaTheme="minorEastAsia"/>
                <w:sz w:val="22"/>
                <w:lang w:val="en-US" w:eastAsia="zh-CN"/>
              </w:rPr>
              <w:t>详见（三）项目内容</w:t>
            </w:r>
          </w:p>
        </w:tc>
      </w:tr>
      <w:tr>
        <w:tblPrEx>
          <w:tblCellMar>
            <w:top w:w="0" w:type="dxa"/>
            <w:left w:w="108" w:type="dxa"/>
            <w:bottom w:w="0" w:type="dxa"/>
            <w:right w:w="108" w:type="dxa"/>
          </w:tblCellMar>
        </w:tblPrEx>
        <w:trPr>
          <w:trHeight w:val="280" w:hRule="atLeast"/>
          <w:jc w:val="center"/>
        </w:trPr>
        <w:tc>
          <w:tcPr>
            <w:tcW w:w="485" w:type="pct"/>
            <w:vMerge w:val="continue"/>
            <w:tcBorders>
              <w:left w:val="single" w:color="auto" w:sz="4" w:space="0"/>
              <w:right w:val="single" w:color="auto" w:sz="4" w:space="0"/>
            </w:tcBorders>
            <w:vAlign w:val="center"/>
          </w:tcPr>
          <w:p>
            <w:pPr>
              <w:snapToGrid w:val="0"/>
              <w:textAlignment w:val="baseline"/>
              <w:rPr>
                <w:rFonts w:asciiTheme="minorEastAsia" w:hAnsiTheme="minorEastAsia" w:eastAsiaTheme="minorEastAsia"/>
                <w:sz w:val="20"/>
              </w:rPr>
            </w:pPr>
          </w:p>
        </w:tc>
        <w:tc>
          <w:tcPr>
            <w:tcW w:w="979" w:type="pct"/>
            <w:vMerge w:val="continue"/>
            <w:tcBorders>
              <w:top w:val="nil"/>
              <w:left w:val="single" w:color="auto" w:sz="4" w:space="0"/>
              <w:bottom w:val="single" w:color="000000" w:sz="4" w:space="0"/>
              <w:right w:val="single" w:color="auto" w:sz="4" w:space="0"/>
            </w:tcBorders>
            <w:vAlign w:val="center"/>
          </w:tcPr>
          <w:p>
            <w:pPr>
              <w:snapToGrid w:val="0"/>
              <w:textAlignment w:val="baseline"/>
              <w:rPr>
                <w:rFonts w:asciiTheme="minorEastAsia" w:hAnsiTheme="minorEastAsia" w:eastAsiaTheme="minorEastAsia"/>
                <w:sz w:val="20"/>
              </w:rPr>
            </w:pP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asciiTheme="minorEastAsia" w:hAnsiTheme="minorEastAsia" w:eastAsiaTheme="minorEastAsia"/>
                <w:sz w:val="20"/>
              </w:rPr>
            </w:pPr>
            <w:r>
              <w:rPr>
                <w:rFonts w:hint="eastAsia" w:asciiTheme="minorEastAsia" w:hAnsiTheme="minorEastAsia" w:eastAsiaTheme="minorEastAsia"/>
                <w:sz w:val="22"/>
              </w:rPr>
              <w:t>数据资产使用</w:t>
            </w: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hint="eastAsia" w:asciiTheme="minorEastAsia" w:hAnsiTheme="minorEastAsia" w:eastAsiaTheme="minorEastAsia"/>
                <w:sz w:val="22"/>
              </w:rPr>
            </w:pPr>
            <w:r>
              <w:rPr>
                <w:rFonts w:hint="eastAsia" w:asciiTheme="minorEastAsia" w:hAnsiTheme="minorEastAsia" w:eastAsiaTheme="minorEastAsia"/>
                <w:sz w:val="22"/>
                <w:lang w:val="en-US" w:eastAsia="zh-CN"/>
              </w:rPr>
              <w:t>详见（三）项目内容</w:t>
            </w:r>
          </w:p>
        </w:tc>
      </w:tr>
      <w:tr>
        <w:tblPrEx>
          <w:tblCellMar>
            <w:top w:w="0" w:type="dxa"/>
            <w:left w:w="108" w:type="dxa"/>
            <w:bottom w:w="0" w:type="dxa"/>
            <w:right w:w="108" w:type="dxa"/>
          </w:tblCellMar>
        </w:tblPrEx>
        <w:trPr>
          <w:trHeight w:val="280" w:hRule="atLeast"/>
          <w:jc w:val="center"/>
        </w:trPr>
        <w:tc>
          <w:tcPr>
            <w:tcW w:w="485" w:type="pct"/>
            <w:vMerge w:val="continue"/>
            <w:tcBorders>
              <w:left w:val="single" w:color="auto" w:sz="4" w:space="0"/>
              <w:right w:val="single" w:color="auto" w:sz="4" w:space="0"/>
            </w:tcBorders>
            <w:vAlign w:val="center"/>
          </w:tcPr>
          <w:p>
            <w:pPr>
              <w:snapToGrid w:val="0"/>
              <w:textAlignment w:val="baseline"/>
              <w:rPr>
                <w:rFonts w:asciiTheme="minorEastAsia" w:hAnsiTheme="minorEastAsia" w:eastAsiaTheme="minorEastAsia"/>
                <w:sz w:val="20"/>
              </w:rPr>
            </w:pPr>
          </w:p>
        </w:tc>
        <w:tc>
          <w:tcPr>
            <w:tcW w:w="979" w:type="pct"/>
            <w:vMerge w:val="continue"/>
            <w:tcBorders>
              <w:top w:val="nil"/>
              <w:left w:val="single" w:color="auto" w:sz="4" w:space="0"/>
              <w:bottom w:val="single" w:color="000000" w:sz="4" w:space="0"/>
              <w:right w:val="single" w:color="auto" w:sz="4" w:space="0"/>
            </w:tcBorders>
            <w:vAlign w:val="center"/>
          </w:tcPr>
          <w:p>
            <w:pPr>
              <w:snapToGrid w:val="0"/>
              <w:textAlignment w:val="baseline"/>
              <w:rPr>
                <w:rFonts w:asciiTheme="minorEastAsia" w:hAnsiTheme="minorEastAsia" w:eastAsiaTheme="minorEastAsia"/>
                <w:sz w:val="20"/>
              </w:rPr>
            </w:pP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asciiTheme="minorEastAsia" w:hAnsiTheme="minorEastAsia" w:eastAsiaTheme="minorEastAsia"/>
                <w:sz w:val="20"/>
              </w:rPr>
            </w:pPr>
            <w:r>
              <w:rPr>
                <w:rFonts w:hint="eastAsia" w:asciiTheme="minorEastAsia" w:hAnsiTheme="minorEastAsia" w:eastAsiaTheme="minorEastAsia"/>
                <w:sz w:val="22"/>
              </w:rPr>
              <w:t>数据资产共享</w:t>
            </w: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hint="eastAsia" w:asciiTheme="minorEastAsia" w:hAnsiTheme="minorEastAsia" w:eastAsiaTheme="minorEastAsia"/>
                <w:sz w:val="22"/>
              </w:rPr>
            </w:pPr>
            <w:r>
              <w:rPr>
                <w:rFonts w:hint="eastAsia" w:asciiTheme="minorEastAsia" w:hAnsiTheme="minorEastAsia" w:eastAsiaTheme="minorEastAsia"/>
                <w:sz w:val="22"/>
                <w:lang w:val="en-US" w:eastAsia="zh-CN"/>
              </w:rPr>
              <w:t>详见（三）项目内容</w:t>
            </w:r>
          </w:p>
        </w:tc>
      </w:tr>
      <w:tr>
        <w:tblPrEx>
          <w:tblCellMar>
            <w:top w:w="0" w:type="dxa"/>
            <w:left w:w="108" w:type="dxa"/>
            <w:bottom w:w="0" w:type="dxa"/>
            <w:right w:w="108" w:type="dxa"/>
          </w:tblCellMar>
        </w:tblPrEx>
        <w:trPr>
          <w:trHeight w:val="280" w:hRule="atLeast"/>
          <w:jc w:val="center"/>
        </w:trPr>
        <w:tc>
          <w:tcPr>
            <w:tcW w:w="485" w:type="pct"/>
            <w:vMerge w:val="continue"/>
            <w:tcBorders>
              <w:left w:val="single" w:color="auto" w:sz="4" w:space="0"/>
              <w:right w:val="single" w:color="auto" w:sz="4" w:space="0"/>
            </w:tcBorders>
            <w:vAlign w:val="center"/>
          </w:tcPr>
          <w:p>
            <w:pPr>
              <w:snapToGrid w:val="0"/>
              <w:textAlignment w:val="baseline"/>
              <w:rPr>
                <w:rFonts w:asciiTheme="minorEastAsia" w:hAnsiTheme="minorEastAsia" w:eastAsiaTheme="minorEastAsia"/>
                <w:sz w:val="20"/>
              </w:rPr>
            </w:pPr>
          </w:p>
        </w:tc>
        <w:tc>
          <w:tcPr>
            <w:tcW w:w="979" w:type="pct"/>
            <w:vMerge w:val="restart"/>
            <w:tcBorders>
              <w:top w:val="nil"/>
              <w:left w:val="single" w:color="auto" w:sz="4" w:space="0"/>
              <w:bottom w:val="single" w:color="000000" w:sz="4" w:space="0"/>
              <w:right w:val="single" w:color="auto" w:sz="4" w:space="0"/>
            </w:tcBorders>
            <w:shd w:val="clear" w:color="auto" w:fill="auto"/>
            <w:noWrap/>
            <w:vAlign w:val="center"/>
          </w:tcPr>
          <w:p>
            <w:pPr>
              <w:snapToGrid w:val="0"/>
              <w:jc w:val="center"/>
              <w:textAlignment w:val="baseline"/>
              <w:rPr>
                <w:rFonts w:asciiTheme="minorEastAsia" w:hAnsiTheme="minorEastAsia" w:eastAsiaTheme="minorEastAsia"/>
                <w:sz w:val="20"/>
              </w:rPr>
            </w:pPr>
            <w:r>
              <w:rPr>
                <w:rFonts w:hint="eastAsia" w:asciiTheme="minorEastAsia" w:hAnsiTheme="minorEastAsia" w:eastAsiaTheme="minorEastAsia"/>
                <w:sz w:val="22"/>
              </w:rPr>
              <w:t>数据湖基础安全平台</w:t>
            </w: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asciiTheme="minorEastAsia" w:hAnsiTheme="minorEastAsia" w:eastAsiaTheme="minorEastAsia"/>
                <w:sz w:val="20"/>
              </w:rPr>
            </w:pPr>
            <w:r>
              <w:rPr>
                <w:rFonts w:hint="eastAsia" w:asciiTheme="minorEastAsia" w:hAnsiTheme="minorEastAsia" w:eastAsiaTheme="minorEastAsia"/>
                <w:sz w:val="22"/>
              </w:rPr>
              <w:t>数据隔离</w:t>
            </w: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hint="eastAsia" w:asciiTheme="minorEastAsia" w:hAnsiTheme="minorEastAsia" w:eastAsiaTheme="minorEastAsia"/>
                <w:sz w:val="22"/>
              </w:rPr>
            </w:pPr>
            <w:r>
              <w:rPr>
                <w:rFonts w:hint="eastAsia" w:asciiTheme="minorEastAsia" w:hAnsiTheme="minorEastAsia" w:eastAsiaTheme="minorEastAsia"/>
                <w:sz w:val="22"/>
                <w:lang w:val="en-US" w:eastAsia="zh-CN"/>
              </w:rPr>
              <w:t>详见（三）项目内容</w:t>
            </w:r>
          </w:p>
        </w:tc>
      </w:tr>
      <w:tr>
        <w:tblPrEx>
          <w:tblCellMar>
            <w:top w:w="0" w:type="dxa"/>
            <w:left w:w="108" w:type="dxa"/>
            <w:bottom w:w="0" w:type="dxa"/>
            <w:right w:w="108" w:type="dxa"/>
          </w:tblCellMar>
        </w:tblPrEx>
        <w:trPr>
          <w:trHeight w:val="280" w:hRule="atLeast"/>
          <w:jc w:val="center"/>
        </w:trPr>
        <w:tc>
          <w:tcPr>
            <w:tcW w:w="485" w:type="pct"/>
            <w:vMerge w:val="continue"/>
            <w:tcBorders>
              <w:left w:val="single" w:color="auto" w:sz="4" w:space="0"/>
              <w:right w:val="single" w:color="auto" w:sz="4" w:space="0"/>
            </w:tcBorders>
            <w:vAlign w:val="center"/>
          </w:tcPr>
          <w:p>
            <w:pPr>
              <w:snapToGrid w:val="0"/>
              <w:textAlignment w:val="baseline"/>
              <w:rPr>
                <w:rFonts w:asciiTheme="minorEastAsia" w:hAnsiTheme="minorEastAsia" w:eastAsiaTheme="minorEastAsia"/>
                <w:sz w:val="20"/>
              </w:rPr>
            </w:pPr>
          </w:p>
        </w:tc>
        <w:tc>
          <w:tcPr>
            <w:tcW w:w="979" w:type="pct"/>
            <w:vMerge w:val="continue"/>
            <w:tcBorders>
              <w:top w:val="nil"/>
              <w:left w:val="single" w:color="auto" w:sz="4" w:space="0"/>
              <w:bottom w:val="single" w:color="000000" w:sz="4" w:space="0"/>
              <w:right w:val="single" w:color="auto" w:sz="4" w:space="0"/>
            </w:tcBorders>
            <w:vAlign w:val="center"/>
          </w:tcPr>
          <w:p>
            <w:pPr>
              <w:snapToGrid w:val="0"/>
              <w:textAlignment w:val="baseline"/>
              <w:rPr>
                <w:rFonts w:asciiTheme="minorEastAsia" w:hAnsiTheme="minorEastAsia" w:eastAsiaTheme="minorEastAsia"/>
                <w:sz w:val="20"/>
              </w:rPr>
            </w:pP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asciiTheme="minorEastAsia" w:hAnsiTheme="minorEastAsia" w:eastAsiaTheme="minorEastAsia"/>
                <w:sz w:val="20"/>
              </w:rPr>
            </w:pPr>
            <w:r>
              <w:rPr>
                <w:rFonts w:hint="eastAsia" w:asciiTheme="minorEastAsia" w:hAnsiTheme="minorEastAsia" w:eastAsiaTheme="minorEastAsia"/>
                <w:sz w:val="22"/>
              </w:rPr>
              <w:t>数据脱敏</w:t>
            </w: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hint="eastAsia" w:asciiTheme="minorEastAsia" w:hAnsiTheme="minorEastAsia" w:eastAsiaTheme="minorEastAsia"/>
                <w:sz w:val="22"/>
              </w:rPr>
            </w:pPr>
            <w:r>
              <w:rPr>
                <w:rFonts w:hint="eastAsia" w:asciiTheme="minorEastAsia" w:hAnsiTheme="minorEastAsia" w:eastAsiaTheme="minorEastAsia"/>
                <w:sz w:val="22"/>
                <w:lang w:val="en-US" w:eastAsia="zh-CN"/>
              </w:rPr>
              <w:t>详见（三）项目内容</w:t>
            </w:r>
          </w:p>
        </w:tc>
      </w:tr>
      <w:tr>
        <w:tblPrEx>
          <w:tblCellMar>
            <w:top w:w="0" w:type="dxa"/>
            <w:left w:w="108" w:type="dxa"/>
            <w:bottom w:w="0" w:type="dxa"/>
            <w:right w:w="108" w:type="dxa"/>
          </w:tblCellMar>
        </w:tblPrEx>
        <w:trPr>
          <w:trHeight w:val="280" w:hRule="atLeast"/>
          <w:jc w:val="center"/>
        </w:trPr>
        <w:tc>
          <w:tcPr>
            <w:tcW w:w="485" w:type="pct"/>
            <w:vMerge w:val="continue"/>
            <w:tcBorders>
              <w:left w:val="single" w:color="auto" w:sz="4" w:space="0"/>
              <w:right w:val="single" w:color="auto" w:sz="4" w:space="0"/>
            </w:tcBorders>
            <w:vAlign w:val="center"/>
          </w:tcPr>
          <w:p>
            <w:pPr>
              <w:snapToGrid w:val="0"/>
              <w:textAlignment w:val="baseline"/>
              <w:rPr>
                <w:rFonts w:asciiTheme="minorEastAsia" w:hAnsiTheme="minorEastAsia" w:eastAsiaTheme="minorEastAsia"/>
                <w:sz w:val="20"/>
              </w:rPr>
            </w:pPr>
          </w:p>
        </w:tc>
        <w:tc>
          <w:tcPr>
            <w:tcW w:w="979" w:type="pct"/>
            <w:vMerge w:val="continue"/>
            <w:tcBorders>
              <w:top w:val="nil"/>
              <w:left w:val="single" w:color="auto" w:sz="4" w:space="0"/>
              <w:bottom w:val="single" w:color="000000" w:sz="4" w:space="0"/>
              <w:right w:val="single" w:color="auto" w:sz="4" w:space="0"/>
            </w:tcBorders>
            <w:vAlign w:val="center"/>
          </w:tcPr>
          <w:p>
            <w:pPr>
              <w:snapToGrid w:val="0"/>
              <w:textAlignment w:val="baseline"/>
              <w:rPr>
                <w:rFonts w:asciiTheme="minorEastAsia" w:hAnsiTheme="minorEastAsia" w:eastAsiaTheme="minorEastAsia"/>
                <w:sz w:val="20"/>
              </w:rPr>
            </w:pP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asciiTheme="minorEastAsia" w:hAnsiTheme="minorEastAsia" w:eastAsiaTheme="minorEastAsia"/>
                <w:sz w:val="20"/>
              </w:rPr>
            </w:pPr>
            <w:r>
              <w:rPr>
                <w:rFonts w:hint="eastAsia" w:asciiTheme="minorEastAsia" w:hAnsiTheme="minorEastAsia" w:eastAsiaTheme="minorEastAsia"/>
                <w:sz w:val="22"/>
              </w:rPr>
              <w:t>权限控制</w:t>
            </w: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hint="eastAsia" w:asciiTheme="minorEastAsia" w:hAnsiTheme="minorEastAsia" w:eastAsiaTheme="minorEastAsia"/>
                <w:sz w:val="22"/>
              </w:rPr>
            </w:pPr>
            <w:r>
              <w:rPr>
                <w:rFonts w:hint="eastAsia" w:asciiTheme="minorEastAsia" w:hAnsiTheme="minorEastAsia" w:eastAsiaTheme="minorEastAsia"/>
                <w:sz w:val="22"/>
                <w:lang w:val="en-US" w:eastAsia="zh-CN"/>
              </w:rPr>
              <w:t>详见（三）项目内容</w:t>
            </w:r>
          </w:p>
        </w:tc>
      </w:tr>
      <w:tr>
        <w:tblPrEx>
          <w:tblCellMar>
            <w:top w:w="0" w:type="dxa"/>
            <w:left w:w="108" w:type="dxa"/>
            <w:bottom w:w="0" w:type="dxa"/>
            <w:right w:w="108" w:type="dxa"/>
          </w:tblCellMar>
        </w:tblPrEx>
        <w:trPr>
          <w:trHeight w:val="280" w:hRule="atLeast"/>
          <w:jc w:val="center"/>
        </w:trPr>
        <w:tc>
          <w:tcPr>
            <w:tcW w:w="485" w:type="pct"/>
            <w:vMerge w:val="continue"/>
            <w:tcBorders>
              <w:left w:val="single" w:color="auto" w:sz="4" w:space="0"/>
              <w:right w:val="single" w:color="auto" w:sz="4" w:space="0"/>
            </w:tcBorders>
            <w:vAlign w:val="center"/>
          </w:tcPr>
          <w:p>
            <w:pPr>
              <w:snapToGrid w:val="0"/>
              <w:textAlignment w:val="baseline"/>
              <w:rPr>
                <w:rFonts w:asciiTheme="minorEastAsia" w:hAnsiTheme="minorEastAsia" w:eastAsiaTheme="minorEastAsia"/>
                <w:sz w:val="20"/>
              </w:rPr>
            </w:pPr>
          </w:p>
        </w:tc>
        <w:tc>
          <w:tcPr>
            <w:tcW w:w="979" w:type="pct"/>
            <w:vMerge w:val="continue"/>
            <w:tcBorders>
              <w:top w:val="nil"/>
              <w:left w:val="single" w:color="auto" w:sz="4" w:space="0"/>
              <w:bottom w:val="single" w:color="auto" w:sz="4" w:space="0"/>
              <w:right w:val="single" w:color="auto" w:sz="4" w:space="0"/>
            </w:tcBorders>
            <w:vAlign w:val="center"/>
          </w:tcPr>
          <w:p>
            <w:pPr>
              <w:snapToGrid w:val="0"/>
              <w:textAlignment w:val="baseline"/>
              <w:rPr>
                <w:rFonts w:asciiTheme="minorEastAsia" w:hAnsiTheme="minorEastAsia" w:eastAsiaTheme="minorEastAsia"/>
                <w:sz w:val="20"/>
              </w:rPr>
            </w:pP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asciiTheme="minorEastAsia" w:hAnsiTheme="minorEastAsia" w:eastAsiaTheme="minorEastAsia"/>
                <w:sz w:val="20"/>
              </w:rPr>
            </w:pPr>
            <w:r>
              <w:rPr>
                <w:rFonts w:hint="eastAsia" w:asciiTheme="minorEastAsia" w:hAnsiTheme="minorEastAsia" w:eastAsiaTheme="minorEastAsia"/>
                <w:sz w:val="22"/>
              </w:rPr>
              <w:t>输出控制模块</w:t>
            </w: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hint="eastAsia" w:asciiTheme="minorEastAsia" w:hAnsiTheme="minorEastAsia" w:eastAsiaTheme="minorEastAsia"/>
                <w:sz w:val="22"/>
              </w:rPr>
            </w:pPr>
            <w:r>
              <w:rPr>
                <w:rFonts w:hint="eastAsia" w:asciiTheme="minorEastAsia" w:hAnsiTheme="minorEastAsia" w:eastAsiaTheme="minorEastAsia"/>
                <w:sz w:val="22"/>
                <w:lang w:val="en-US" w:eastAsia="zh-CN"/>
              </w:rPr>
              <w:t>详见（三）项目内容</w:t>
            </w:r>
          </w:p>
        </w:tc>
      </w:tr>
      <w:tr>
        <w:tblPrEx>
          <w:tblCellMar>
            <w:top w:w="0" w:type="dxa"/>
            <w:left w:w="108" w:type="dxa"/>
            <w:bottom w:w="0" w:type="dxa"/>
            <w:right w:w="108" w:type="dxa"/>
          </w:tblCellMar>
        </w:tblPrEx>
        <w:trPr>
          <w:trHeight w:val="280" w:hRule="atLeast"/>
          <w:jc w:val="center"/>
        </w:trPr>
        <w:tc>
          <w:tcPr>
            <w:tcW w:w="485" w:type="pct"/>
            <w:vMerge w:val="continue"/>
            <w:tcBorders>
              <w:left w:val="single" w:color="auto" w:sz="4" w:space="0"/>
              <w:right w:val="single" w:color="auto" w:sz="4" w:space="0"/>
            </w:tcBorders>
            <w:vAlign w:val="center"/>
          </w:tcPr>
          <w:p>
            <w:pPr>
              <w:snapToGrid w:val="0"/>
              <w:textAlignment w:val="baseline"/>
              <w:rPr>
                <w:rFonts w:asciiTheme="minorEastAsia" w:hAnsiTheme="minorEastAsia" w:eastAsiaTheme="minorEastAsia"/>
                <w:sz w:val="20"/>
              </w:rPr>
            </w:pPr>
          </w:p>
        </w:tc>
        <w:tc>
          <w:tcPr>
            <w:tcW w:w="979" w:type="pct"/>
            <w:vMerge w:val="restart"/>
            <w:tcBorders>
              <w:top w:val="single" w:color="auto" w:sz="4" w:space="0"/>
              <w:left w:val="single" w:color="auto" w:sz="4" w:space="0"/>
              <w:bottom w:val="single" w:color="auto" w:sz="4" w:space="0"/>
              <w:right w:val="single" w:color="auto" w:sz="4" w:space="0"/>
            </w:tcBorders>
            <w:vAlign w:val="center"/>
          </w:tcPr>
          <w:p>
            <w:pPr>
              <w:snapToGrid w:val="0"/>
              <w:jc w:val="center"/>
              <w:textAlignment w:val="baseline"/>
              <w:rPr>
                <w:rFonts w:asciiTheme="minorEastAsia" w:hAnsiTheme="minorEastAsia" w:eastAsiaTheme="minorEastAsia"/>
                <w:sz w:val="20"/>
              </w:rPr>
            </w:pPr>
            <w:r>
              <w:rPr>
                <w:rFonts w:hint="eastAsia" w:asciiTheme="minorEastAsia" w:hAnsiTheme="minorEastAsia" w:eastAsiaTheme="minorEastAsia"/>
                <w:sz w:val="22"/>
              </w:rPr>
              <w:t>数据湖增强安全平台</w:t>
            </w: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asciiTheme="minorEastAsia" w:hAnsiTheme="minorEastAsia" w:eastAsiaTheme="minorEastAsia"/>
                <w:sz w:val="20"/>
              </w:rPr>
            </w:pPr>
            <w:r>
              <w:rPr>
                <w:rFonts w:hint="eastAsia" w:asciiTheme="minorEastAsia" w:hAnsiTheme="minorEastAsia" w:eastAsiaTheme="minorEastAsia"/>
                <w:sz w:val="22"/>
              </w:rPr>
              <w:t>数据加密模块</w:t>
            </w: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hint="eastAsia" w:asciiTheme="minorEastAsia" w:hAnsiTheme="minorEastAsia" w:eastAsiaTheme="minorEastAsia"/>
                <w:sz w:val="22"/>
              </w:rPr>
            </w:pPr>
            <w:r>
              <w:rPr>
                <w:rFonts w:hint="eastAsia" w:asciiTheme="minorEastAsia" w:hAnsiTheme="minorEastAsia" w:eastAsiaTheme="minorEastAsia"/>
                <w:sz w:val="22"/>
                <w:lang w:val="en-US" w:eastAsia="zh-CN"/>
              </w:rPr>
              <w:t>详见（三）项目内容</w:t>
            </w:r>
          </w:p>
        </w:tc>
      </w:tr>
      <w:tr>
        <w:tblPrEx>
          <w:tblCellMar>
            <w:top w:w="0" w:type="dxa"/>
            <w:left w:w="108" w:type="dxa"/>
            <w:bottom w:w="0" w:type="dxa"/>
            <w:right w:w="108" w:type="dxa"/>
          </w:tblCellMar>
        </w:tblPrEx>
        <w:trPr>
          <w:trHeight w:val="280" w:hRule="atLeast"/>
          <w:jc w:val="center"/>
        </w:trPr>
        <w:tc>
          <w:tcPr>
            <w:tcW w:w="485" w:type="pct"/>
            <w:vMerge w:val="continue"/>
            <w:tcBorders>
              <w:left w:val="single" w:color="auto" w:sz="4" w:space="0"/>
              <w:right w:val="single" w:color="auto" w:sz="4" w:space="0"/>
            </w:tcBorders>
            <w:vAlign w:val="center"/>
          </w:tcPr>
          <w:p>
            <w:pPr>
              <w:snapToGrid w:val="0"/>
              <w:textAlignment w:val="baseline"/>
              <w:rPr>
                <w:rFonts w:asciiTheme="minorEastAsia" w:hAnsiTheme="minorEastAsia" w:eastAsiaTheme="minorEastAsia"/>
                <w:sz w:val="20"/>
              </w:rPr>
            </w:pPr>
          </w:p>
        </w:tc>
        <w:tc>
          <w:tcPr>
            <w:tcW w:w="979" w:type="pct"/>
            <w:vMerge w:val="continue"/>
            <w:tcBorders>
              <w:top w:val="single" w:color="auto" w:sz="4" w:space="0"/>
              <w:left w:val="single" w:color="auto" w:sz="4" w:space="0"/>
              <w:bottom w:val="single" w:color="auto" w:sz="4" w:space="0"/>
              <w:right w:val="single" w:color="auto" w:sz="4" w:space="0"/>
            </w:tcBorders>
            <w:vAlign w:val="center"/>
          </w:tcPr>
          <w:p>
            <w:pPr>
              <w:snapToGrid w:val="0"/>
              <w:textAlignment w:val="baseline"/>
              <w:rPr>
                <w:rFonts w:asciiTheme="minorEastAsia" w:hAnsiTheme="minorEastAsia" w:eastAsiaTheme="minorEastAsia"/>
                <w:sz w:val="20"/>
              </w:rPr>
            </w:pP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asciiTheme="minorEastAsia" w:hAnsiTheme="minorEastAsia" w:eastAsiaTheme="minorEastAsia"/>
                <w:sz w:val="20"/>
              </w:rPr>
            </w:pPr>
            <w:r>
              <w:rPr>
                <w:rFonts w:hint="eastAsia" w:asciiTheme="minorEastAsia" w:hAnsiTheme="minorEastAsia" w:eastAsiaTheme="minorEastAsia"/>
                <w:sz w:val="22"/>
              </w:rPr>
              <w:t>隐私计算模块</w:t>
            </w: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hint="eastAsia" w:asciiTheme="minorEastAsia" w:hAnsiTheme="minorEastAsia" w:eastAsiaTheme="minorEastAsia"/>
                <w:sz w:val="22"/>
              </w:rPr>
            </w:pPr>
            <w:r>
              <w:rPr>
                <w:rFonts w:hint="eastAsia" w:asciiTheme="minorEastAsia" w:hAnsiTheme="minorEastAsia" w:eastAsiaTheme="minorEastAsia"/>
                <w:sz w:val="22"/>
                <w:lang w:val="en-US" w:eastAsia="zh-CN"/>
              </w:rPr>
              <w:t>详见（三）项目内容</w:t>
            </w:r>
          </w:p>
        </w:tc>
      </w:tr>
      <w:tr>
        <w:tblPrEx>
          <w:tblCellMar>
            <w:top w:w="0" w:type="dxa"/>
            <w:left w:w="108" w:type="dxa"/>
            <w:bottom w:w="0" w:type="dxa"/>
            <w:right w:w="108" w:type="dxa"/>
          </w:tblCellMar>
        </w:tblPrEx>
        <w:trPr>
          <w:trHeight w:val="280" w:hRule="atLeast"/>
          <w:jc w:val="center"/>
        </w:trPr>
        <w:tc>
          <w:tcPr>
            <w:tcW w:w="485" w:type="pct"/>
            <w:vMerge w:val="continue"/>
            <w:tcBorders>
              <w:left w:val="single" w:color="auto" w:sz="4" w:space="0"/>
              <w:right w:val="single" w:color="auto" w:sz="4" w:space="0"/>
            </w:tcBorders>
            <w:vAlign w:val="center"/>
          </w:tcPr>
          <w:p>
            <w:pPr>
              <w:snapToGrid w:val="0"/>
              <w:textAlignment w:val="baseline"/>
              <w:rPr>
                <w:rFonts w:asciiTheme="minorEastAsia" w:hAnsiTheme="minorEastAsia" w:eastAsiaTheme="minorEastAsia"/>
                <w:sz w:val="20"/>
              </w:rPr>
            </w:pPr>
          </w:p>
        </w:tc>
        <w:tc>
          <w:tcPr>
            <w:tcW w:w="979" w:type="pct"/>
            <w:vMerge w:val="continue"/>
            <w:tcBorders>
              <w:top w:val="single" w:color="auto" w:sz="4" w:space="0"/>
              <w:left w:val="single" w:color="auto" w:sz="4" w:space="0"/>
              <w:bottom w:val="single" w:color="auto" w:sz="4" w:space="0"/>
              <w:right w:val="single" w:color="auto" w:sz="4" w:space="0"/>
            </w:tcBorders>
            <w:vAlign w:val="center"/>
          </w:tcPr>
          <w:p>
            <w:pPr>
              <w:snapToGrid w:val="0"/>
              <w:textAlignment w:val="baseline"/>
              <w:rPr>
                <w:rFonts w:asciiTheme="minorEastAsia" w:hAnsiTheme="minorEastAsia" w:eastAsiaTheme="minorEastAsia"/>
                <w:sz w:val="20"/>
              </w:rPr>
            </w:pP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asciiTheme="minorEastAsia" w:hAnsiTheme="minorEastAsia" w:eastAsiaTheme="minorEastAsia"/>
                <w:sz w:val="20"/>
              </w:rPr>
            </w:pPr>
            <w:r>
              <w:rPr>
                <w:rFonts w:hint="eastAsia" w:asciiTheme="minorEastAsia" w:hAnsiTheme="minorEastAsia" w:eastAsiaTheme="minorEastAsia"/>
                <w:sz w:val="22"/>
              </w:rPr>
              <w:t>数据权属认证模块</w:t>
            </w: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hint="eastAsia" w:asciiTheme="minorEastAsia" w:hAnsiTheme="minorEastAsia" w:eastAsiaTheme="minorEastAsia"/>
                <w:sz w:val="22"/>
              </w:rPr>
            </w:pPr>
            <w:r>
              <w:rPr>
                <w:rFonts w:hint="eastAsia" w:asciiTheme="minorEastAsia" w:hAnsiTheme="minorEastAsia" w:eastAsiaTheme="minorEastAsia"/>
                <w:sz w:val="22"/>
                <w:lang w:val="en-US" w:eastAsia="zh-CN"/>
              </w:rPr>
              <w:t>详见（三）项目内容</w:t>
            </w:r>
          </w:p>
        </w:tc>
      </w:tr>
      <w:tr>
        <w:tblPrEx>
          <w:tblCellMar>
            <w:top w:w="0" w:type="dxa"/>
            <w:left w:w="108" w:type="dxa"/>
            <w:bottom w:w="0" w:type="dxa"/>
            <w:right w:w="108" w:type="dxa"/>
          </w:tblCellMar>
        </w:tblPrEx>
        <w:trPr>
          <w:trHeight w:val="280" w:hRule="atLeast"/>
          <w:jc w:val="center"/>
        </w:trPr>
        <w:tc>
          <w:tcPr>
            <w:tcW w:w="485" w:type="pct"/>
            <w:vMerge w:val="restart"/>
            <w:tcBorders>
              <w:top w:val="nil"/>
              <w:left w:val="single" w:color="auto" w:sz="4" w:space="0"/>
              <w:bottom w:val="single" w:color="000000" w:sz="4" w:space="0"/>
              <w:right w:val="single" w:color="auto" w:sz="4" w:space="0"/>
            </w:tcBorders>
            <w:shd w:val="clear" w:color="auto" w:fill="auto"/>
            <w:noWrap/>
            <w:vAlign w:val="center"/>
          </w:tcPr>
          <w:p>
            <w:pPr>
              <w:snapToGrid w:val="0"/>
              <w:jc w:val="center"/>
              <w:textAlignment w:val="baseline"/>
              <w:rPr>
                <w:rFonts w:asciiTheme="minorEastAsia" w:hAnsiTheme="minorEastAsia" w:eastAsiaTheme="minorEastAsia"/>
                <w:sz w:val="20"/>
              </w:rPr>
            </w:pPr>
            <w:r>
              <w:rPr>
                <w:rFonts w:hint="eastAsia" w:asciiTheme="minorEastAsia" w:hAnsiTheme="minorEastAsia" w:eastAsiaTheme="minorEastAsia"/>
                <w:sz w:val="22"/>
              </w:rPr>
              <w:t>数据应用</w:t>
            </w:r>
          </w:p>
        </w:tc>
        <w:tc>
          <w:tcPr>
            <w:tcW w:w="979"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textAlignment w:val="baseline"/>
              <w:rPr>
                <w:rFonts w:asciiTheme="minorEastAsia" w:hAnsiTheme="minorEastAsia" w:eastAsiaTheme="minorEastAsia"/>
                <w:sz w:val="20"/>
              </w:rPr>
            </w:pPr>
            <w:r>
              <w:rPr>
                <w:rFonts w:hint="eastAsia" w:asciiTheme="minorEastAsia" w:hAnsiTheme="minorEastAsia" w:eastAsiaTheme="minorEastAsia"/>
                <w:sz w:val="22"/>
              </w:rPr>
              <w:t>科研智能搜索平台</w:t>
            </w: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asciiTheme="minorEastAsia" w:hAnsiTheme="minorEastAsia" w:eastAsiaTheme="minorEastAsia"/>
                <w:sz w:val="20"/>
              </w:rPr>
            </w:pPr>
            <w:r>
              <w:rPr>
                <w:rFonts w:hint="eastAsia" w:asciiTheme="minorEastAsia" w:hAnsiTheme="minorEastAsia" w:eastAsiaTheme="minorEastAsia"/>
                <w:sz w:val="22"/>
              </w:rPr>
              <w:t>传统高级搜索</w:t>
            </w: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hint="eastAsia" w:asciiTheme="minorEastAsia" w:hAnsiTheme="minorEastAsia" w:eastAsiaTheme="minorEastAsia"/>
                <w:sz w:val="22"/>
              </w:rPr>
            </w:pPr>
            <w:r>
              <w:rPr>
                <w:rFonts w:hint="eastAsia" w:asciiTheme="minorEastAsia" w:hAnsiTheme="minorEastAsia" w:eastAsiaTheme="minorEastAsia"/>
                <w:sz w:val="22"/>
                <w:lang w:val="en-US" w:eastAsia="zh-CN"/>
              </w:rPr>
              <w:t>详见（三）项目内容</w:t>
            </w:r>
          </w:p>
        </w:tc>
      </w:tr>
      <w:tr>
        <w:tblPrEx>
          <w:tblCellMar>
            <w:top w:w="0" w:type="dxa"/>
            <w:left w:w="108" w:type="dxa"/>
            <w:bottom w:w="0" w:type="dxa"/>
            <w:right w:w="108" w:type="dxa"/>
          </w:tblCellMar>
        </w:tblPrEx>
        <w:trPr>
          <w:trHeight w:val="280" w:hRule="atLeast"/>
          <w:jc w:val="center"/>
        </w:trPr>
        <w:tc>
          <w:tcPr>
            <w:tcW w:w="485" w:type="pct"/>
            <w:vMerge w:val="continue"/>
            <w:tcBorders>
              <w:top w:val="nil"/>
              <w:left w:val="single" w:color="auto" w:sz="4" w:space="0"/>
              <w:bottom w:val="single" w:color="000000" w:sz="4" w:space="0"/>
              <w:right w:val="single" w:color="auto" w:sz="4" w:space="0"/>
            </w:tcBorders>
            <w:vAlign w:val="center"/>
          </w:tcPr>
          <w:p>
            <w:pPr>
              <w:snapToGrid w:val="0"/>
              <w:textAlignment w:val="baseline"/>
              <w:rPr>
                <w:rFonts w:asciiTheme="minorEastAsia" w:hAnsiTheme="minorEastAsia" w:eastAsiaTheme="minorEastAsia"/>
                <w:sz w:val="20"/>
              </w:rPr>
            </w:pPr>
          </w:p>
        </w:tc>
        <w:tc>
          <w:tcPr>
            <w:tcW w:w="979" w:type="pct"/>
            <w:vMerge w:val="continue"/>
            <w:tcBorders>
              <w:top w:val="single" w:color="auto" w:sz="4" w:space="0"/>
              <w:left w:val="single" w:color="auto" w:sz="4" w:space="0"/>
              <w:bottom w:val="single" w:color="auto" w:sz="4" w:space="0"/>
              <w:right w:val="single" w:color="auto" w:sz="4" w:space="0"/>
            </w:tcBorders>
            <w:vAlign w:val="center"/>
          </w:tcPr>
          <w:p>
            <w:pPr>
              <w:snapToGrid w:val="0"/>
              <w:textAlignment w:val="baseline"/>
              <w:rPr>
                <w:rFonts w:asciiTheme="minorEastAsia" w:hAnsiTheme="minorEastAsia" w:eastAsiaTheme="minorEastAsia"/>
                <w:sz w:val="20"/>
              </w:rPr>
            </w:pP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asciiTheme="minorEastAsia" w:hAnsiTheme="minorEastAsia" w:eastAsiaTheme="minorEastAsia"/>
                <w:sz w:val="20"/>
              </w:rPr>
            </w:pPr>
            <w:r>
              <w:rPr>
                <w:rFonts w:hint="eastAsia" w:asciiTheme="minorEastAsia" w:hAnsiTheme="minorEastAsia" w:eastAsiaTheme="minorEastAsia"/>
                <w:sz w:val="22"/>
              </w:rPr>
              <w:t>智能科研检索</w:t>
            </w: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hint="eastAsia" w:asciiTheme="minorEastAsia" w:hAnsiTheme="minorEastAsia" w:eastAsiaTheme="minorEastAsia"/>
                <w:sz w:val="22"/>
              </w:rPr>
            </w:pPr>
            <w:r>
              <w:rPr>
                <w:rFonts w:hint="eastAsia" w:asciiTheme="minorEastAsia" w:hAnsiTheme="minorEastAsia" w:eastAsiaTheme="minorEastAsia"/>
                <w:sz w:val="22"/>
                <w:lang w:val="en-US" w:eastAsia="zh-CN"/>
              </w:rPr>
              <w:t>详见（三）项目内容</w:t>
            </w:r>
          </w:p>
        </w:tc>
      </w:tr>
      <w:tr>
        <w:tblPrEx>
          <w:tblCellMar>
            <w:top w:w="0" w:type="dxa"/>
            <w:left w:w="108" w:type="dxa"/>
            <w:bottom w:w="0" w:type="dxa"/>
            <w:right w:w="108" w:type="dxa"/>
          </w:tblCellMar>
        </w:tblPrEx>
        <w:trPr>
          <w:trHeight w:val="280" w:hRule="atLeast"/>
          <w:jc w:val="center"/>
        </w:trPr>
        <w:tc>
          <w:tcPr>
            <w:tcW w:w="485" w:type="pct"/>
            <w:vMerge w:val="continue"/>
            <w:tcBorders>
              <w:top w:val="nil"/>
              <w:left w:val="single" w:color="auto" w:sz="4" w:space="0"/>
              <w:bottom w:val="single" w:color="000000" w:sz="4" w:space="0"/>
              <w:right w:val="single" w:color="auto" w:sz="4" w:space="0"/>
            </w:tcBorders>
            <w:vAlign w:val="center"/>
          </w:tcPr>
          <w:p>
            <w:pPr>
              <w:snapToGrid w:val="0"/>
              <w:textAlignment w:val="baseline"/>
              <w:rPr>
                <w:rFonts w:asciiTheme="minorEastAsia" w:hAnsiTheme="minorEastAsia" w:eastAsiaTheme="minorEastAsia"/>
                <w:sz w:val="20"/>
              </w:rPr>
            </w:pPr>
          </w:p>
        </w:tc>
        <w:tc>
          <w:tcPr>
            <w:tcW w:w="979" w:type="pct"/>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snapToGrid w:val="0"/>
              <w:jc w:val="center"/>
              <w:textAlignment w:val="baseline"/>
              <w:rPr>
                <w:rFonts w:asciiTheme="minorEastAsia" w:hAnsiTheme="minorEastAsia" w:eastAsiaTheme="minorEastAsia"/>
                <w:sz w:val="20"/>
              </w:rPr>
            </w:pPr>
            <w:r>
              <w:rPr>
                <w:rFonts w:hint="eastAsia" w:asciiTheme="minorEastAsia" w:hAnsiTheme="minorEastAsia" w:eastAsiaTheme="minorEastAsia"/>
                <w:sz w:val="22"/>
              </w:rPr>
              <w:t>科研学术服务平台</w:t>
            </w: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asciiTheme="minorEastAsia" w:hAnsiTheme="minorEastAsia" w:eastAsiaTheme="minorEastAsia"/>
                <w:sz w:val="20"/>
              </w:rPr>
            </w:pPr>
            <w:r>
              <w:rPr>
                <w:rFonts w:hint="eastAsia" w:asciiTheme="minorEastAsia" w:hAnsiTheme="minorEastAsia" w:eastAsiaTheme="minorEastAsia"/>
                <w:sz w:val="22"/>
              </w:rPr>
              <w:t>统一文献服务</w:t>
            </w: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hint="eastAsia" w:asciiTheme="minorEastAsia" w:hAnsiTheme="minorEastAsia" w:eastAsiaTheme="minorEastAsia"/>
                <w:sz w:val="22"/>
              </w:rPr>
            </w:pPr>
            <w:r>
              <w:rPr>
                <w:rFonts w:hint="eastAsia" w:asciiTheme="minorEastAsia" w:hAnsiTheme="minorEastAsia" w:eastAsiaTheme="minorEastAsia"/>
                <w:sz w:val="22"/>
                <w:lang w:val="en-US" w:eastAsia="zh-CN"/>
              </w:rPr>
              <w:t>详见（三）项目内容</w:t>
            </w:r>
          </w:p>
        </w:tc>
      </w:tr>
      <w:tr>
        <w:tblPrEx>
          <w:tblCellMar>
            <w:top w:w="0" w:type="dxa"/>
            <w:left w:w="108" w:type="dxa"/>
            <w:bottom w:w="0" w:type="dxa"/>
            <w:right w:w="108" w:type="dxa"/>
          </w:tblCellMar>
        </w:tblPrEx>
        <w:trPr>
          <w:trHeight w:val="280" w:hRule="atLeast"/>
          <w:jc w:val="center"/>
        </w:trPr>
        <w:tc>
          <w:tcPr>
            <w:tcW w:w="485" w:type="pct"/>
            <w:vMerge w:val="continue"/>
            <w:tcBorders>
              <w:top w:val="nil"/>
              <w:left w:val="single" w:color="auto" w:sz="4" w:space="0"/>
              <w:bottom w:val="single" w:color="000000" w:sz="4" w:space="0"/>
              <w:right w:val="single" w:color="auto" w:sz="4" w:space="0"/>
            </w:tcBorders>
            <w:vAlign w:val="center"/>
          </w:tcPr>
          <w:p>
            <w:pPr>
              <w:snapToGrid w:val="0"/>
              <w:textAlignment w:val="baseline"/>
              <w:rPr>
                <w:rFonts w:asciiTheme="minorEastAsia" w:hAnsiTheme="minorEastAsia" w:eastAsiaTheme="minorEastAsia"/>
                <w:sz w:val="20"/>
              </w:rPr>
            </w:pPr>
          </w:p>
        </w:tc>
        <w:tc>
          <w:tcPr>
            <w:tcW w:w="979" w:type="pct"/>
            <w:vMerge w:val="continue"/>
            <w:tcBorders>
              <w:top w:val="nil"/>
              <w:left w:val="single" w:color="auto" w:sz="4" w:space="0"/>
              <w:bottom w:val="single" w:color="000000" w:sz="4" w:space="0"/>
              <w:right w:val="single" w:color="auto" w:sz="4" w:space="0"/>
            </w:tcBorders>
            <w:vAlign w:val="center"/>
          </w:tcPr>
          <w:p>
            <w:pPr>
              <w:snapToGrid w:val="0"/>
              <w:textAlignment w:val="baseline"/>
              <w:rPr>
                <w:rFonts w:asciiTheme="minorEastAsia" w:hAnsiTheme="minorEastAsia" w:eastAsiaTheme="minorEastAsia"/>
                <w:sz w:val="20"/>
              </w:rPr>
            </w:pP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asciiTheme="minorEastAsia" w:hAnsiTheme="minorEastAsia" w:eastAsiaTheme="minorEastAsia"/>
                <w:sz w:val="20"/>
              </w:rPr>
            </w:pPr>
            <w:r>
              <w:rPr>
                <w:rFonts w:hint="eastAsia" w:asciiTheme="minorEastAsia" w:hAnsiTheme="minorEastAsia" w:eastAsiaTheme="minorEastAsia"/>
                <w:sz w:val="22"/>
              </w:rPr>
              <w:t>科研辅助服务</w:t>
            </w: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hint="eastAsia" w:asciiTheme="minorEastAsia" w:hAnsiTheme="minorEastAsia" w:eastAsiaTheme="minorEastAsia"/>
                <w:sz w:val="22"/>
              </w:rPr>
            </w:pPr>
            <w:r>
              <w:rPr>
                <w:rFonts w:hint="eastAsia" w:asciiTheme="minorEastAsia" w:hAnsiTheme="minorEastAsia" w:eastAsiaTheme="minorEastAsia"/>
                <w:sz w:val="22"/>
                <w:lang w:val="en-US" w:eastAsia="zh-CN"/>
              </w:rPr>
              <w:t>详见（三）项目内容</w:t>
            </w:r>
          </w:p>
        </w:tc>
      </w:tr>
      <w:tr>
        <w:tblPrEx>
          <w:tblCellMar>
            <w:top w:w="0" w:type="dxa"/>
            <w:left w:w="108" w:type="dxa"/>
            <w:bottom w:w="0" w:type="dxa"/>
            <w:right w:w="108" w:type="dxa"/>
          </w:tblCellMar>
        </w:tblPrEx>
        <w:trPr>
          <w:trHeight w:val="280" w:hRule="atLeast"/>
          <w:jc w:val="center"/>
        </w:trPr>
        <w:tc>
          <w:tcPr>
            <w:tcW w:w="485" w:type="pct"/>
            <w:vMerge w:val="continue"/>
            <w:tcBorders>
              <w:top w:val="nil"/>
              <w:left w:val="single" w:color="auto" w:sz="4" w:space="0"/>
              <w:bottom w:val="single" w:color="000000" w:sz="4" w:space="0"/>
              <w:right w:val="single" w:color="auto" w:sz="4" w:space="0"/>
            </w:tcBorders>
            <w:vAlign w:val="center"/>
          </w:tcPr>
          <w:p>
            <w:pPr>
              <w:snapToGrid w:val="0"/>
              <w:textAlignment w:val="baseline"/>
              <w:rPr>
                <w:rFonts w:asciiTheme="minorEastAsia" w:hAnsiTheme="minorEastAsia" w:eastAsiaTheme="minorEastAsia"/>
                <w:sz w:val="20"/>
              </w:rPr>
            </w:pPr>
          </w:p>
        </w:tc>
        <w:tc>
          <w:tcPr>
            <w:tcW w:w="979" w:type="pct"/>
            <w:vMerge w:val="restart"/>
            <w:tcBorders>
              <w:top w:val="nil"/>
              <w:left w:val="single" w:color="auto" w:sz="4" w:space="0"/>
              <w:bottom w:val="single" w:color="000000" w:sz="4" w:space="0"/>
              <w:right w:val="single" w:color="auto" w:sz="4" w:space="0"/>
            </w:tcBorders>
            <w:shd w:val="clear" w:color="auto" w:fill="auto"/>
            <w:noWrap/>
            <w:vAlign w:val="center"/>
          </w:tcPr>
          <w:p>
            <w:pPr>
              <w:snapToGrid w:val="0"/>
              <w:jc w:val="center"/>
              <w:textAlignment w:val="baseline"/>
              <w:rPr>
                <w:rFonts w:asciiTheme="minorEastAsia" w:hAnsiTheme="minorEastAsia" w:eastAsiaTheme="minorEastAsia"/>
                <w:sz w:val="20"/>
              </w:rPr>
            </w:pPr>
            <w:r>
              <w:rPr>
                <w:rFonts w:hint="eastAsia" w:asciiTheme="minorEastAsia" w:hAnsiTheme="minorEastAsia" w:eastAsiaTheme="minorEastAsia"/>
                <w:sz w:val="22"/>
              </w:rPr>
              <w:t>科研大数据分析平台</w:t>
            </w: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asciiTheme="minorEastAsia" w:hAnsiTheme="minorEastAsia" w:eastAsiaTheme="minorEastAsia"/>
                <w:sz w:val="20"/>
              </w:rPr>
            </w:pPr>
            <w:r>
              <w:rPr>
                <w:rFonts w:hint="eastAsia" w:asciiTheme="minorEastAsia" w:hAnsiTheme="minorEastAsia" w:eastAsiaTheme="minorEastAsia"/>
                <w:sz w:val="22"/>
              </w:rPr>
              <w:t>数据集管理</w:t>
            </w: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hint="eastAsia" w:asciiTheme="minorEastAsia" w:hAnsiTheme="minorEastAsia" w:eastAsiaTheme="minorEastAsia"/>
                <w:sz w:val="22"/>
              </w:rPr>
            </w:pPr>
            <w:r>
              <w:rPr>
                <w:rFonts w:hint="eastAsia" w:asciiTheme="minorEastAsia" w:hAnsiTheme="minorEastAsia" w:eastAsiaTheme="minorEastAsia"/>
                <w:sz w:val="22"/>
                <w:lang w:val="en-US" w:eastAsia="zh-CN"/>
              </w:rPr>
              <w:t>详见（三）项目内容</w:t>
            </w:r>
          </w:p>
        </w:tc>
      </w:tr>
      <w:tr>
        <w:tblPrEx>
          <w:tblCellMar>
            <w:top w:w="0" w:type="dxa"/>
            <w:left w:w="108" w:type="dxa"/>
            <w:bottom w:w="0" w:type="dxa"/>
            <w:right w:w="108" w:type="dxa"/>
          </w:tblCellMar>
        </w:tblPrEx>
        <w:trPr>
          <w:trHeight w:val="280" w:hRule="atLeast"/>
          <w:jc w:val="center"/>
        </w:trPr>
        <w:tc>
          <w:tcPr>
            <w:tcW w:w="485" w:type="pct"/>
            <w:vMerge w:val="continue"/>
            <w:tcBorders>
              <w:top w:val="nil"/>
              <w:left w:val="single" w:color="auto" w:sz="4" w:space="0"/>
              <w:bottom w:val="single" w:color="000000" w:sz="4" w:space="0"/>
              <w:right w:val="single" w:color="auto" w:sz="4" w:space="0"/>
            </w:tcBorders>
            <w:vAlign w:val="center"/>
          </w:tcPr>
          <w:p>
            <w:pPr>
              <w:snapToGrid w:val="0"/>
              <w:textAlignment w:val="baseline"/>
              <w:rPr>
                <w:rFonts w:asciiTheme="minorEastAsia" w:hAnsiTheme="minorEastAsia" w:eastAsiaTheme="minorEastAsia"/>
                <w:sz w:val="20"/>
              </w:rPr>
            </w:pPr>
          </w:p>
        </w:tc>
        <w:tc>
          <w:tcPr>
            <w:tcW w:w="979" w:type="pct"/>
            <w:vMerge w:val="continue"/>
            <w:tcBorders>
              <w:top w:val="nil"/>
              <w:left w:val="single" w:color="auto" w:sz="4" w:space="0"/>
              <w:bottom w:val="single" w:color="000000" w:sz="4" w:space="0"/>
              <w:right w:val="single" w:color="auto" w:sz="4" w:space="0"/>
            </w:tcBorders>
            <w:vAlign w:val="center"/>
          </w:tcPr>
          <w:p>
            <w:pPr>
              <w:snapToGrid w:val="0"/>
              <w:textAlignment w:val="baseline"/>
              <w:rPr>
                <w:rFonts w:asciiTheme="minorEastAsia" w:hAnsiTheme="minorEastAsia" w:eastAsiaTheme="minorEastAsia"/>
                <w:sz w:val="20"/>
              </w:rPr>
            </w:pP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asciiTheme="minorEastAsia" w:hAnsiTheme="minorEastAsia" w:eastAsiaTheme="minorEastAsia"/>
                <w:sz w:val="20"/>
              </w:rPr>
            </w:pPr>
            <w:r>
              <w:rPr>
                <w:rFonts w:hint="eastAsia" w:asciiTheme="minorEastAsia" w:hAnsiTheme="minorEastAsia" w:eastAsiaTheme="minorEastAsia"/>
                <w:sz w:val="22"/>
              </w:rPr>
              <w:t>数据初步探查</w:t>
            </w: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hint="eastAsia" w:asciiTheme="minorEastAsia" w:hAnsiTheme="minorEastAsia" w:eastAsiaTheme="minorEastAsia"/>
                <w:sz w:val="22"/>
              </w:rPr>
            </w:pPr>
            <w:r>
              <w:rPr>
                <w:rFonts w:hint="eastAsia" w:asciiTheme="minorEastAsia" w:hAnsiTheme="minorEastAsia" w:eastAsiaTheme="minorEastAsia"/>
                <w:sz w:val="22"/>
                <w:lang w:val="en-US" w:eastAsia="zh-CN"/>
              </w:rPr>
              <w:t>详见（三）项目内容</w:t>
            </w:r>
          </w:p>
        </w:tc>
      </w:tr>
      <w:tr>
        <w:tblPrEx>
          <w:tblCellMar>
            <w:top w:w="0" w:type="dxa"/>
            <w:left w:w="108" w:type="dxa"/>
            <w:bottom w:w="0" w:type="dxa"/>
            <w:right w:w="108" w:type="dxa"/>
          </w:tblCellMar>
        </w:tblPrEx>
        <w:trPr>
          <w:trHeight w:val="280" w:hRule="atLeast"/>
          <w:jc w:val="center"/>
        </w:trPr>
        <w:tc>
          <w:tcPr>
            <w:tcW w:w="485" w:type="pct"/>
            <w:vMerge w:val="continue"/>
            <w:tcBorders>
              <w:top w:val="nil"/>
              <w:left w:val="single" w:color="auto" w:sz="4" w:space="0"/>
              <w:bottom w:val="single" w:color="000000" w:sz="4" w:space="0"/>
              <w:right w:val="single" w:color="auto" w:sz="4" w:space="0"/>
            </w:tcBorders>
            <w:vAlign w:val="center"/>
          </w:tcPr>
          <w:p>
            <w:pPr>
              <w:snapToGrid w:val="0"/>
              <w:textAlignment w:val="baseline"/>
              <w:rPr>
                <w:rFonts w:asciiTheme="minorEastAsia" w:hAnsiTheme="minorEastAsia" w:eastAsiaTheme="minorEastAsia"/>
                <w:sz w:val="20"/>
              </w:rPr>
            </w:pPr>
          </w:p>
        </w:tc>
        <w:tc>
          <w:tcPr>
            <w:tcW w:w="979" w:type="pct"/>
            <w:vMerge w:val="continue"/>
            <w:tcBorders>
              <w:top w:val="nil"/>
              <w:left w:val="single" w:color="auto" w:sz="4" w:space="0"/>
              <w:bottom w:val="single" w:color="000000" w:sz="4" w:space="0"/>
              <w:right w:val="single" w:color="auto" w:sz="4" w:space="0"/>
            </w:tcBorders>
            <w:vAlign w:val="center"/>
          </w:tcPr>
          <w:p>
            <w:pPr>
              <w:snapToGrid w:val="0"/>
              <w:textAlignment w:val="baseline"/>
              <w:rPr>
                <w:rFonts w:asciiTheme="minorEastAsia" w:hAnsiTheme="minorEastAsia" w:eastAsiaTheme="minorEastAsia"/>
                <w:sz w:val="20"/>
              </w:rPr>
            </w:pP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asciiTheme="minorEastAsia" w:hAnsiTheme="minorEastAsia" w:eastAsiaTheme="minorEastAsia"/>
                <w:sz w:val="20"/>
              </w:rPr>
            </w:pPr>
            <w:r>
              <w:rPr>
                <w:rFonts w:hint="eastAsia" w:asciiTheme="minorEastAsia" w:hAnsiTheme="minorEastAsia" w:eastAsiaTheme="minorEastAsia"/>
                <w:sz w:val="22"/>
              </w:rPr>
              <w:t>数据预处理</w:t>
            </w: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hint="eastAsia" w:asciiTheme="minorEastAsia" w:hAnsiTheme="minorEastAsia" w:eastAsiaTheme="minorEastAsia"/>
                <w:sz w:val="22"/>
              </w:rPr>
            </w:pPr>
            <w:r>
              <w:rPr>
                <w:rFonts w:hint="eastAsia" w:asciiTheme="minorEastAsia" w:hAnsiTheme="minorEastAsia" w:eastAsiaTheme="minorEastAsia"/>
                <w:sz w:val="22"/>
                <w:lang w:val="en-US" w:eastAsia="zh-CN"/>
              </w:rPr>
              <w:t>详见（三）项目内容</w:t>
            </w:r>
          </w:p>
        </w:tc>
      </w:tr>
      <w:tr>
        <w:tblPrEx>
          <w:tblCellMar>
            <w:top w:w="0" w:type="dxa"/>
            <w:left w:w="108" w:type="dxa"/>
            <w:bottom w:w="0" w:type="dxa"/>
            <w:right w:w="108" w:type="dxa"/>
          </w:tblCellMar>
        </w:tblPrEx>
        <w:trPr>
          <w:trHeight w:val="280" w:hRule="atLeast"/>
          <w:jc w:val="center"/>
        </w:trPr>
        <w:tc>
          <w:tcPr>
            <w:tcW w:w="485" w:type="pct"/>
            <w:vMerge w:val="continue"/>
            <w:tcBorders>
              <w:top w:val="nil"/>
              <w:left w:val="single" w:color="auto" w:sz="4" w:space="0"/>
              <w:bottom w:val="single" w:color="000000" w:sz="4" w:space="0"/>
              <w:right w:val="single" w:color="auto" w:sz="4" w:space="0"/>
            </w:tcBorders>
            <w:vAlign w:val="center"/>
          </w:tcPr>
          <w:p>
            <w:pPr>
              <w:snapToGrid w:val="0"/>
              <w:textAlignment w:val="baseline"/>
              <w:rPr>
                <w:rFonts w:asciiTheme="minorEastAsia" w:hAnsiTheme="minorEastAsia" w:eastAsiaTheme="minorEastAsia"/>
                <w:sz w:val="20"/>
              </w:rPr>
            </w:pPr>
          </w:p>
        </w:tc>
        <w:tc>
          <w:tcPr>
            <w:tcW w:w="979" w:type="pct"/>
            <w:vMerge w:val="continue"/>
            <w:tcBorders>
              <w:top w:val="nil"/>
              <w:left w:val="single" w:color="auto" w:sz="4" w:space="0"/>
              <w:bottom w:val="single" w:color="000000" w:sz="4" w:space="0"/>
              <w:right w:val="single" w:color="auto" w:sz="4" w:space="0"/>
            </w:tcBorders>
            <w:vAlign w:val="center"/>
          </w:tcPr>
          <w:p>
            <w:pPr>
              <w:snapToGrid w:val="0"/>
              <w:textAlignment w:val="baseline"/>
              <w:rPr>
                <w:rFonts w:asciiTheme="minorEastAsia" w:hAnsiTheme="minorEastAsia" w:eastAsiaTheme="minorEastAsia"/>
                <w:sz w:val="20"/>
              </w:rPr>
            </w:pP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asciiTheme="minorEastAsia" w:hAnsiTheme="minorEastAsia" w:eastAsiaTheme="minorEastAsia"/>
                <w:sz w:val="20"/>
              </w:rPr>
            </w:pPr>
            <w:r>
              <w:rPr>
                <w:rFonts w:hint="eastAsia" w:asciiTheme="minorEastAsia" w:hAnsiTheme="minorEastAsia" w:eastAsiaTheme="minorEastAsia"/>
                <w:sz w:val="22"/>
              </w:rPr>
              <w:t>数据分析</w:t>
            </w: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hint="eastAsia" w:asciiTheme="minorEastAsia" w:hAnsiTheme="minorEastAsia" w:eastAsiaTheme="minorEastAsia"/>
                <w:sz w:val="22"/>
              </w:rPr>
            </w:pPr>
            <w:r>
              <w:rPr>
                <w:rFonts w:hint="eastAsia" w:asciiTheme="minorEastAsia" w:hAnsiTheme="minorEastAsia" w:eastAsiaTheme="minorEastAsia"/>
                <w:sz w:val="22"/>
                <w:lang w:val="en-US" w:eastAsia="zh-CN"/>
              </w:rPr>
              <w:t>详见（三）项目内容</w:t>
            </w:r>
          </w:p>
        </w:tc>
      </w:tr>
      <w:tr>
        <w:tblPrEx>
          <w:tblCellMar>
            <w:top w:w="0" w:type="dxa"/>
            <w:left w:w="108" w:type="dxa"/>
            <w:bottom w:w="0" w:type="dxa"/>
            <w:right w:w="108" w:type="dxa"/>
          </w:tblCellMar>
        </w:tblPrEx>
        <w:trPr>
          <w:trHeight w:val="280" w:hRule="atLeast"/>
          <w:jc w:val="center"/>
        </w:trPr>
        <w:tc>
          <w:tcPr>
            <w:tcW w:w="485" w:type="pct"/>
            <w:vMerge w:val="continue"/>
            <w:tcBorders>
              <w:top w:val="nil"/>
              <w:left w:val="single" w:color="auto" w:sz="4" w:space="0"/>
              <w:bottom w:val="single" w:color="000000" w:sz="4" w:space="0"/>
              <w:right w:val="single" w:color="auto" w:sz="4" w:space="0"/>
            </w:tcBorders>
            <w:vAlign w:val="center"/>
          </w:tcPr>
          <w:p>
            <w:pPr>
              <w:snapToGrid w:val="0"/>
              <w:textAlignment w:val="baseline"/>
              <w:rPr>
                <w:rFonts w:asciiTheme="minorEastAsia" w:hAnsiTheme="minorEastAsia" w:eastAsiaTheme="minorEastAsia"/>
                <w:sz w:val="20"/>
              </w:rPr>
            </w:pPr>
          </w:p>
        </w:tc>
        <w:tc>
          <w:tcPr>
            <w:tcW w:w="979" w:type="pct"/>
            <w:vMerge w:val="continue"/>
            <w:tcBorders>
              <w:top w:val="nil"/>
              <w:left w:val="single" w:color="auto" w:sz="4" w:space="0"/>
              <w:bottom w:val="single" w:color="000000" w:sz="4" w:space="0"/>
              <w:right w:val="single" w:color="auto" w:sz="4" w:space="0"/>
            </w:tcBorders>
            <w:vAlign w:val="center"/>
          </w:tcPr>
          <w:p>
            <w:pPr>
              <w:snapToGrid w:val="0"/>
              <w:textAlignment w:val="baseline"/>
              <w:rPr>
                <w:rFonts w:asciiTheme="minorEastAsia" w:hAnsiTheme="minorEastAsia" w:eastAsiaTheme="minorEastAsia"/>
                <w:sz w:val="20"/>
              </w:rPr>
            </w:pP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asciiTheme="minorEastAsia" w:hAnsiTheme="minorEastAsia" w:eastAsiaTheme="minorEastAsia"/>
                <w:sz w:val="20"/>
              </w:rPr>
            </w:pPr>
            <w:r>
              <w:rPr>
                <w:rFonts w:hint="eastAsia" w:asciiTheme="minorEastAsia" w:hAnsiTheme="minorEastAsia" w:eastAsiaTheme="minorEastAsia"/>
                <w:sz w:val="22"/>
              </w:rPr>
              <w:t>结果展示</w:t>
            </w: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hint="eastAsia" w:asciiTheme="minorEastAsia" w:hAnsiTheme="minorEastAsia" w:eastAsiaTheme="minorEastAsia"/>
                <w:sz w:val="22"/>
              </w:rPr>
            </w:pPr>
            <w:r>
              <w:rPr>
                <w:rFonts w:hint="eastAsia" w:asciiTheme="minorEastAsia" w:hAnsiTheme="minorEastAsia" w:eastAsiaTheme="minorEastAsia"/>
                <w:sz w:val="22"/>
                <w:lang w:val="en-US" w:eastAsia="zh-CN"/>
              </w:rPr>
              <w:t>详见（三）项目内容</w:t>
            </w:r>
          </w:p>
        </w:tc>
      </w:tr>
      <w:tr>
        <w:tblPrEx>
          <w:tblCellMar>
            <w:top w:w="0" w:type="dxa"/>
            <w:left w:w="108" w:type="dxa"/>
            <w:bottom w:w="0" w:type="dxa"/>
            <w:right w:w="108" w:type="dxa"/>
          </w:tblCellMar>
        </w:tblPrEx>
        <w:trPr>
          <w:trHeight w:val="280" w:hRule="atLeast"/>
          <w:jc w:val="center"/>
        </w:trPr>
        <w:tc>
          <w:tcPr>
            <w:tcW w:w="485" w:type="pct"/>
            <w:vMerge w:val="continue"/>
            <w:tcBorders>
              <w:top w:val="nil"/>
              <w:left w:val="single" w:color="auto" w:sz="4" w:space="0"/>
              <w:bottom w:val="single" w:color="000000" w:sz="4" w:space="0"/>
              <w:right w:val="single" w:color="auto" w:sz="4" w:space="0"/>
            </w:tcBorders>
            <w:vAlign w:val="center"/>
          </w:tcPr>
          <w:p>
            <w:pPr>
              <w:snapToGrid w:val="0"/>
              <w:textAlignment w:val="baseline"/>
              <w:rPr>
                <w:rFonts w:asciiTheme="minorEastAsia" w:hAnsiTheme="minorEastAsia" w:eastAsiaTheme="minorEastAsia"/>
                <w:sz w:val="20"/>
              </w:rPr>
            </w:pPr>
          </w:p>
        </w:tc>
        <w:tc>
          <w:tcPr>
            <w:tcW w:w="979" w:type="pct"/>
            <w:vMerge w:val="restart"/>
            <w:tcBorders>
              <w:top w:val="nil"/>
              <w:left w:val="single" w:color="auto" w:sz="4" w:space="0"/>
              <w:right w:val="single" w:color="auto" w:sz="4" w:space="0"/>
            </w:tcBorders>
            <w:shd w:val="clear" w:color="auto" w:fill="auto"/>
            <w:noWrap/>
            <w:vAlign w:val="center"/>
          </w:tcPr>
          <w:p>
            <w:pPr>
              <w:snapToGrid w:val="0"/>
              <w:jc w:val="center"/>
              <w:textAlignment w:val="baseline"/>
              <w:rPr>
                <w:rFonts w:asciiTheme="minorEastAsia" w:hAnsiTheme="minorEastAsia" w:eastAsiaTheme="minorEastAsia"/>
                <w:sz w:val="20"/>
                <w:highlight w:val="none"/>
              </w:rPr>
            </w:pPr>
            <w:r>
              <w:rPr>
                <w:rFonts w:hint="eastAsia" w:asciiTheme="minorEastAsia" w:hAnsiTheme="minorEastAsia" w:eastAsiaTheme="minorEastAsia"/>
                <w:sz w:val="22"/>
                <w:highlight w:val="none"/>
              </w:rPr>
              <w:t>科研信息门户网站</w:t>
            </w: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asciiTheme="minorEastAsia" w:hAnsiTheme="minorEastAsia" w:eastAsiaTheme="minorEastAsia"/>
                <w:sz w:val="20"/>
                <w:highlight w:val="none"/>
              </w:rPr>
            </w:pPr>
            <w:r>
              <w:rPr>
                <w:rFonts w:hint="eastAsia" w:asciiTheme="minorEastAsia" w:hAnsiTheme="minorEastAsia" w:eastAsiaTheme="minorEastAsia"/>
                <w:sz w:val="22"/>
                <w:highlight w:val="none"/>
              </w:rPr>
              <w:t>科研项目空间</w:t>
            </w: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hint="eastAsia" w:asciiTheme="minorEastAsia" w:hAnsiTheme="minorEastAsia" w:eastAsiaTheme="minorEastAsia"/>
                <w:sz w:val="22"/>
                <w:highlight w:val="none"/>
              </w:rPr>
            </w:pPr>
            <w:r>
              <w:rPr>
                <w:rFonts w:hint="eastAsia" w:asciiTheme="minorEastAsia" w:hAnsiTheme="minorEastAsia" w:eastAsiaTheme="minorEastAsia"/>
                <w:sz w:val="22"/>
                <w:lang w:val="en-US" w:eastAsia="zh-CN"/>
              </w:rPr>
              <w:t>详见（三）项目内容</w:t>
            </w:r>
          </w:p>
        </w:tc>
      </w:tr>
      <w:tr>
        <w:tblPrEx>
          <w:tblCellMar>
            <w:top w:w="0" w:type="dxa"/>
            <w:left w:w="108" w:type="dxa"/>
            <w:bottom w:w="0" w:type="dxa"/>
            <w:right w:w="108" w:type="dxa"/>
          </w:tblCellMar>
        </w:tblPrEx>
        <w:trPr>
          <w:trHeight w:val="280" w:hRule="atLeast"/>
          <w:jc w:val="center"/>
        </w:trPr>
        <w:tc>
          <w:tcPr>
            <w:tcW w:w="485" w:type="pct"/>
            <w:vMerge w:val="continue"/>
            <w:tcBorders>
              <w:top w:val="nil"/>
              <w:left w:val="single" w:color="auto" w:sz="4" w:space="0"/>
              <w:bottom w:val="single" w:color="000000" w:sz="4" w:space="0"/>
              <w:right w:val="single" w:color="auto" w:sz="4" w:space="0"/>
            </w:tcBorders>
            <w:vAlign w:val="center"/>
          </w:tcPr>
          <w:p>
            <w:pPr>
              <w:snapToGrid w:val="0"/>
              <w:textAlignment w:val="baseline"/>
              <w:rPr>
                <w:rFonts w:asciiTheme="minorEastAsia" w:hAnsiTheme="minorEastAsia" w:eastAsiaTheme="minorEastAsia"/>
                <w:sz w:val="20"/>
              </w:rPr>
            </w:pPr>
          </w:p>
        </w:tc>
        <w:tc>
          <w:tcPr>
            <w:tcW w:w="979" w:type="pct"/>
            <w:vMerge w:val="continue"/>
            <w:tcBorders>
              <w:left w:val="single" w:color="auto" w:sz="4" w:space="0"/>
              <w:right w:val="single" w:color="auto" w:sz="4" w:space="0"/>
            </w:tcBorders>
            <w:shd w:val="clear" w:color="auto" w:fill="auto"/>
            <w:noWrap/>
            <w:vAlign w:val="center"/>
          </w:tcPr>
          <w:p>
            <w:pPr>
              <w:snapToGrid w:val="0"/>
              <w:jc w:val="center"/>
              <w:textAlignment w:val="baseline"/>
              <w:rPr>
                <w:rFonts w:asciiTheme="minorEastAsia" w:hAnsiTheme="minorEastAsia" w:eastAsiaTheme="minorEastAsia"/>
                <w:sz w:val="20"/>
                <w:highlight w:val="none"/>
              </w:rPr>
            </w:pP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asciiTheme="minorEastAsia" w:hAnsiTheme="minorEastAsia" w:eastAsiaTheme="minorEastAsia"/>
                <w:sz w:val="20"/>
                <w:highlight w:val="none"/>
              </w:rPr>
            </w:pPr>
            <w:r>
              <w:rPr>
                <w:rFonts w:hint="eastAsia" w:asciiTheme="minorEastAsia" w:hAnsiTheme="minorEastAsia" w:eastAsiaTheme="minorEastAsia"/>
                <w:sz w:val="22"/>
                <w:highlight w:val="none"/>
              </w:rPr>
              <w:t>科研动态</w:t>
            </w: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hint="eastAsia" w:asciiTheme="minorEastAsia" w:hAnsiTheme="minorEastAsia" w:eastAsiaTheme="minorEastAsia"/>
                <w:sz w:val="22"/>
                <w:highlight w:val="none"/>
              </w:rPr>
            </w:pPr>
            <w:r>
              <w:rPr>
                <w:rFonts w:hint="eastAsia" w:asciiTheme="minorEastAsia" w:hAnsiTheme="minorEastAsia" w:eastAsiaTheme="minorEastAsia"/>
                <w:sz w:val="22"/>
                <w:lang w:val="en-US" w:eastAsia="zh-CN"/>
              </w:rPr>
              <w:t>详见（三）项目内容</w:t>
            </w:r>
          </w:p>
        </w:tc>
      </w:tr>
      <w:tr>
        <w:tblPrEx>
          <w:tblCellMar>
            <w:top w:w="0" w:type="dxa"/>
            <w:left w:w="108" w:type="dxa"/>
            <w:bottom w:w="0" w:type="dxa"/>
            <w:right w:w="108" w:type="dxa"/>
          </w:tblCellMar>
        </w:tblPrEx>
        <w:trPr>
          <w:trHeight w:val="280" w:hRule="atLeast"/>
          <w:jc w:val="center"/>
        </w:trPr>
        <w:tc>
          <w:tcPr>
            <w:tcW w:w="485" w:type="pct"/>
            <w:vMerge w:val="continue"/>
            <w:tcBorders>
              <w:top w:val="nil"/>
              <w:left w:val="single" w:color="auto" w:sz="4" w:space="0"/>
              <w:bottom w:val="single" w:color="000000" w:sz="4" w:space="0"/>
              <w:right w:val="single" w:color="auto" w:sz="4" w:space="0"/>
            </w:tcBorders>
            <w:vAlign w:val="center"/>
          </w:tcPr>
          <w:p>
            <w:pPr>
              <w:snapToGrid w:val="0"/>
              <w:textAlignment w:val="baseline"/>
              <w:rPr>
                <w:rFonts w:asciiTheme="minorEastAsia" w:hAnsiTheme="minorEastAsia" w:eastAsiaTheme="minorEastAsia"/>
                <w:sz w:val="20"/>
              </w:rPr>
            </w:pPr>
          </w:p>
        </w:tc>
        <w:tc>
          <w:tcPr>
            <w:tcW w:w="979" w:type="pct"/>
            <w:vMerge w:val="continue"/>
            <w:tcBorders>
              <w:left w:val="single" w:color="auto" w:sz="4" w:space="0"/>
              <w:bottom w:val="single" w:color="auto" w:sz="4" w:space="0"/>
              <w:right w:val="single" w:color="auto" w:sz="4" w:space="0"/>
            </w:tcBorders>
            <w:shd w:val="clear" w:color="auto" w:fill="auto"/>
            <w:vAlign w:val="center"/>
          </w:tcPr>
          <w:p>
            <w:pPr>
              <w:snapToGrid w:val="0"/>
              <w:textAlignment w:val="baseline"/>
              <w:rPr>
                <w:rFonts w:asciiTheme="minorEastAsia" w:hAnsiTheme="minorEastAsia" w:eastAsiaTheme="minorEastAsia"/>
                <w:sz w:val="20"/>
                <w:highlight w:val="none"/>
              </w:rPr>
            </w:pP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asciiTheme="minorEastAsia" w:hAnsiTheme="minorEastAsia" w:eastAsiaTheme="minorEastAsia"/>
                <w:sz w:val="20"/>
                <w:highlight w:val="none"/>
              </w:rPr>
            </w:pPr>
            <w:r>
              <w:rPr>
                <w:rFonts w:hint="eastAsia" w:asciiTheme="minorEastAsia" w:hAnsiTheme="minorEastAsia" w:eastAsiaTheme="minorEastAsia"/>
                <w:sz w:val="22"/>
                <w:highlight w:val="none"/>
              </w:rPr>
              <w:t>科研结果溯源</w:t>
            </w: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hint="eastAsia" w:asciiTheme="minorEastAsia" w:hAnsiTheme="minorEastAsia" w:eastAsiaTheme="minorEastAsia"/>
                <w:sz w:val="22"/>
                <w:highlight w:val="none"/>
              </w:rPr>
            </w:pPr>
            <w:r>
              <w:rPr>
                <w:rFonts w:hint="eastAsia" w:asciiTheme="minorEastAsia" w:hAnsiTheme="minorEastAsia" w:eastAsiaTheme="minorEastAsia"/>
                <w:sz w:val="22"/>
                <w:lang w:val="en-US" w:eastAsia="zh-CN"/>
              </w:rPr>
              <w:t>详见（三）项目内容</w:t>
            </w:r>
          </w:p>
        </w:tc>
      </w:tr>
      <w:tr>
        <w:tblPrEx>
          <w:tblCellMar>
            <w:top w:w="0" w:type="dxa"/>
            <w:left w:w="108" w:type="dxa"/>
            <w:bottom w:w="0" w:type="dxa"/>
            <w:right w:w="108" w:type="dxa"/>
          </w:tblCellMar>
        </w:tblPrEx>
        <w:trPr>
          <w:trHeight w:val="280" w:hRule="atLeast"/>
          <w:jc w:val="center"/>
        </w:trPr>
        <w:tc>
          <w:tcPr>
            <w:tcW w:w="485" w:type="pct"/>
            <w:vMerge w:val="continue"/>
            <w:tcBorders>
              <w:top w:val="nil"/>
              <w:left w:val="single" w:color="auto" w:sz="4" w:space="0"/>
              <w:bottom w:val="single" w:color="000000" w:sz="4" w:space="0"/>
              <w:right w:val="single" w:color="auto" w:sz="4" w:space="0"/>
            </w:tcBorders>
            <w:vAlign w:val="center"/>
          </w:tcPr>
          <w:p>
            <w:pPr>
              <w:snapToGrid w:val="0"/>
              <w:textAlignment w:val="baseline"/>
              <w:rPr>
                <w:rFonts w:asciiTheme="minorEastAsia" w:hAnsiTheme="minorEastAsia" w:eastAsiaTheme="minorEastAsia"/>
                <w:sz w:val="20"/>
              </w:rPr>
            </w:pPr>
          </w:p>
        </w:tc>
        <w:tc>
          <w:tcPr>
            <w:tcW w:w="979"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napToGrid w:val="0"/>
              <w:textAlignment w:val="baseline"/>
              <w:rPr>
                <w:rFonts w:asciiTheme="minorEastAsia" w:hAnsiTheme="minorEastAsia" w:eastAsiaTheme="minorEastAsia"/>
                <w:sz w:val="20"/>
              </w:rPr>
            </w:pPr>
            <w:r>
              <w:rPr>
                <w:rFonts w:hint="eastAsia" w:asciiTheme="minorEastAsia" w:hAnsiTheme="minorEastAsia" w:eastAsiaTheme="minorEastAsia"/>
                <w:sz w:val="22"/>
              </w:rPr>
              <w:t>数据应用安全管控平台</w:t>
            </w: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asciiTheme="minorEastAsia" w:hAnsiTheme="minorEastAsia" w:eastAsiaTheme="minorEastAsia"/>
                <w:sz w:val="20"/>
              </w:rPr>
            </w:pPr>
            <w:r>
              <w:rPr>
                <w:rFonts w:hint="eastAsia" w:asciiTheme="minorEastAsia" w:hAnsiTheme="minorEastAsia" w:eastAsiaTheme="minorEastAsia"/>
                <w:sz w:val="22"/>
              </w:rPr>
              <w:t>科研材料签名管理模块</w:t>
            </w: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hint="eastAsia" w:asciiTheme="minorEastAsia" w:hAnsiTheme="minorEastAsia" w:eastAsiaTheme="minorEastAsia"/>
                <w:sz w:val="22"/>
              </w:rPr>
            </w:pPr>
            <w:r>
              <w:rPr>
                <w:rFonts w:hint="eastAsia" w:asciiTheme="minorEastAsia" w:hAnsiTheme="minorEastAsia" w:eastAsiaTheme="minorEastAsia"/>
                <w:sz w:val="22"/>
                <w:lang w:val="en-US" w:eastAsia="zh-CN"/>
              </w:rPr>
              <w:t>详见（三）项目内容</w:t>
            </w:r>
          </w:p>
        </w:tc>
      </w:tr>
      <w:tr>
        <w:tblPrEx>
          <w:tblCellMar>
            <w:top w:w="0" w:type="dxa"/>
            <w:left w:w="108" w:type="dxa"/>
            <w:bottom w:w="0" w:type="dxa"/>
            <w:right w:w="108" w:type="dxa"/>
          </w:tblCellMar>
        </w:tblPrEx>
        <w:trPr>
          <w:trHeight w:val="280" w:hRule="atLeast"/>
          <w:jc w:val="center"/>
        </w:trPr>
        <w:tc>
          <w:tcPr>
            <w:tcW w:w="485" w:type="pct"/>
            <w:vMerge w:val="continue"/>
            <w:tcBorders>
              <w:top w:val="nil"/>
              <w:left w:val="single" w:color="auto" w:sz="4" w:space="0"/>
              <w:bottom w:val="single" w:color="000000" w:sz="4" w:space="0"/>
              <w:right w:val="single" w:color="auto" w:sz="4" w:space="0"/>
            </w:tcBorders>
            <w:vAlign w:val="center"/>
          </w:tcPr>
          <w:p>
            <w:pPr>
              <w:snapToGrid w:val="0"/>
              <w:textAlignment w:val="baseline"/>
              <w:rPr>
                <w:rFonts w:asciiTheme="minorEastAsia" w:hAnsiTheme="minorEastAsia" w:eastAsiaTheme="minorEastAsia"/>
                <w:sz w:val="20"/>
              </w:rPr>
            </w:pPr>
          </w:p>
        </w:tc>
        <w:tc>
          <w:tcPr>
            <w:tcW w:w="97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napToGrid w:val="0"/>
              <w:textAlignment w:val="baseline"/>
              <w:rPr>
                <w:rFonts w:asciiTheme="minorEastAsia" w:hAnsiTheme="minorEastAsia" w:eastAsiaTheme="minorEastAsia"/>
                <w:sz w:val="20"/>
              </w:rPr>
            </w:pP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asciiTheme="minorEastAsia" w:hAnsiTheme="minorEastAsia" w:eastAsiaTheme="minorEastAsia"/>
                <w:sz w:val="20"/>
              </w:rPr>
            </w:pPr>
            <w:r>
              <w:rPr>
                <w:rFonts w:hint="eastAsia" w:asciiTheme="minorEastAsia" w:hAnsiTheme="minorEastAsia" w:eastAsiaTheme="minorEastAsia"/>
                <w:sz w:val="22"/>
              </w:rPr>
              <w:t>数据调用行为监控及存证模块</w:t>
            </w:r>
          </w:p>
        </w:tc>
        <w:tc>
          <w:tcPr>
            <w:tcW w:w="1767" w:type="pct"/>
            <w:tcBorders>
              <w:top w:val="nil"/>
              <w:left w:val="nil"/>
              <w:bottom w:val="single" w:color="auto" w:sz="4" w:space="0"/>
              <w:right w:val="single" w:color="auto" w:sz="4" w:space="0"/>
            </w:tcBorders>
            <w:shd w:val="clear" w:color="auto" w:fill="auto"/>
            <w:noWrap/>
            <w:vAlign w:val="center"/>
          </w:tcPr>
          <w:p>
            <w:pPr>
              <w:snapToGrid w:val="0"/>
              <w:textAlignment w:val="baseline"/>
              <w:rPr>
                <w:rFonts w:hint="eastAsia" w:asciiTheme="minorEastAsia" w:hAnsiTheme="minorEastAsia" w:eastAsiaTheme="minorEastAsia"/>
                <w:sz w:val="22"/>
              </w:rPr>
            </w:pPr>
            <w:r>
              <w:rPr>
                <w:rFonts w:hint="eastAsia" w:asciiTheme="minorEastAsia" w:hAnsiTheme="minorEastAsia" w:eastAsiaTheme="minorEastAsia"/>
                <w:sz w:val="22"/>
                <w:lang w:val="en-US" w:eastAsia="zh-CN"/>
              </w:rPr>
              <w:t>详见（三）项目内容</w:t>
            </w:r>
          </w:p>
        </w:tc>
      </w:tr>
    </w:tbl>
    <w:p>
      <w:pPr>
        <w:spacing w:line="360" w:lineRule="auto"/>
        <w:ind w:firstLine="420"/>
        <w:rPr>
          <w:rFonts w:asciiTheme="minorEastAsia" w:hAnsiTheme="minorEastAsia" w:eastAsiaTheme="minorEastAsia"/>
        </w:rPr>
      </w:pPr>
      <w:r>
        <w:rPr>
          <w:rFonts w:hint="eastAsia" w:asciiTheme="minorEastAsia" w:hAnsiTheme="minorEastAsia" w:eastAsiaTheme="minorEastAsia"/>
        </w:rPr>
        <w:t>服务内容包含上述系统所有功能与数据开发服务。</w:t>
      </w:r>
    </w:p>
    <w:p>
      <w:pPr>
        <w:pStyle w:val="3"/>
        <w:spacing w:line="360" w:lineRule="auto"/>
        <w:ind w:leftChars="0"/>
        <w:rPr>
          <w:rFonts w:asciiTheme="minorEastAsia" w:hAnsiTheme="minorEastAsia" w:eastAsiaTheme="minorEastAsia"/>
        </w:rPr>
      </w:pPr>
      <w:r>
        <w:rPr>
          <w:rFonts w:hint="eastAsia" w:asciiTheme="minorEastAsia" w:hAnsiTheme="minorEastAsia" w:eastAsiaTheme="minorEastAsia"/>
        </w:rPr>
        <w:t>（三）项目内容</w:t>
      </w:r>
    </w:p>
    <w:p>
      <w:pPr>
        <w:pStyle w:val="4"/>
        <w:spacing w:line="360" w:lineRule="auto"/>
        <w:rPr>
          <w:rFonts w:asciiTheme="minorEastAsia" w:hAnsiTheme="minorEastAsia" w:eastAsiaTheme="minorEastAsia"/>
        </w:rPr>
      </w:pPr>
      <w:bookmarkStart w:id="0" w:name="_6.1.2、容器服务器"/>
      <w:bookmarkEnd w:id="0"/>
      <w:r>
        <w:rPr>
          <w:rFonts w:hint="eastAsia" w:asciiTheme="minorEastAsia" w:hAnsiTheme="minorEastAsia" w:eastAsiaTheme="minorEastAsia"/>
        </w:rPr>
        <w:t>（1）数据湖</w:t>
      </w:r>
    </w:p>
    <w:p>
      <w:pPr>
        <w:pStyle w:val="5"/>
        <w:spacing w:line="360" w:lineRule="auto"/>
        <w:rPr>
          <w:rFonts w:asciiTheme="minorEastAsia" w:hAnsiTheme="minorEastAsia" w:eastAsiaTheme="minorEastAsia"/>
        </w:rPr>
      </w:pPr>
      <w:r>
        <w:rPr>
          <w:rFonts w:hint="eastAsia" w:asciiTheme="minorEastAsia" w:hAnsiTheme="minorEastAsia" w:eastAsiaTheme="minorEastAsia"/>
        </w:rPr>
        <w:t>1.1数据湖基础平台</w:t>
      </w:r>
    </w:p>
    <w:p>
      <w:pPr>
        <w:spacing w:line="360" w:lineRule="auto"/>
        <w:ind w:left="420" w:firstLine="420"/>
        <w:rPr>
          <w:rFonts w:asciiTheme="minorEastAsia" w:hAnsiTheme="minorEastAsia" w:eastAsiaTheme="minorEastAsia"/>
        </w:rPr>
      </w:pPr>
      <w:r>
        <w:rPr>
          <w:rFonts w:hint="eastAsia" w:asciiTheme="minorEastAsia" w:hAnsiTheme="minorEastAsia" w:eastAsiaTheme="minorEastAsia"/>
        </w:rPr>
        <w:t>构建开放式全院数据湖基础平台，将各系统、各场景、各类型的海量数据统一入湖，支持每天百万级别离线采集数据调度任务、秒级实时采集数据入湖。主要的功能要求包括：</w:t>
      </w:r>
    </w:p>
    <w:p>
      <w:pPr>
        <w:pStyle w:val="19"/>
        <w:numPr>
          <w:ilvl w:val="0"/>
          <w:numId w:val="3"/>
        </w:numPr>
        <w:spacing w:line="360" w:lineRule="auto"/>
        <w:ind w:firstLineChars="0"/>
        <w:rPr>
          <w:rFonts w:asciiTheme="minorEastAsia" w:hAnsiTheme="minorEastAsia" w:eastAsiaTheme="minorEastAsia"/>
        </w:rPr>
      </w:pPr>
      <w:r>
        <w:rPr>
          <w:rFonts w:hint="eastAsia" w:asciiTheme="minorEastAsia" w:hAnsiTheme="minorEastAsia" w:eastAsiaTheme="minorEastAsia"/>
        </w:rPr>
        <w:t>支持全景式数据采集入湖</w:t>
      </w:r>
    </w:p>
    <w:p>
      <w:pPr>
        <w:pStyle w:val="19"/>
        <w:numPr>
          <w:ilvl w:val="1"/>
          <w:numId w:val="3"/>
        </w:numPr>
        <w:spacing w:line="360" w:lineRule="auto"/>
        <w:ind w:firstLineChars="0"/>
        <w:rPr>
          <w:rFonts w:asciiTheme="minorEastAsia" w:hAnsiTheme="minorEastAsia" w:eastAsiaTheme="minorEastAsia"/>
        </w:rPr>
      </w:pPr>
      <w:r>
        <w:rPr>
          <w:rFonts w:hint="eastAsia" w:asciiTheme="minorEastAsia" w:hAnsiTheme="minorEastAsia" w:eastAsiaTheme="minorEastAsia"/>
        </w:rPr>
        <w:t>多模态数据：关系型数据库数据、文本数据、图片数据、</w:t>
      </w:r>
      <w:r>
        <w:rPr>
          <w:rFonts w:asciiTheme="minorEastAsia" w:hAnsiTheme="minorEastAsia" w:eastAsiaTheme="minorEastAsia"/>
        </w:rPr>
        <w:t>PDF</w:t>
      </w:r>
      <w:r>
        <w:rPr>
          <w:rFonts w:hint="eastAsia" w:asciiTheme="minorEastAsia" w:hAnsiTheme="minorEastAsia" w:eastAsiaTheme="minorEastAsia"/>
        </w:rPr>
        <w:t>数据、检查影像数据（2D/3D、DICOM</w:t>
      </w:r>
      <w:r>
        <w:rPr>
          <w:rFonts w:asciiTheme="minorEastAsia" w:hAnsiTheme="minorEastAsia" w:eastAsiaTheme="minorEastAsia"/>
        </w:rPr>
        <w:t>/</w:t>
      </w:r>
      <w:r>
        <w:rPr>
          <w:rFonts w:hint="eastAsia" w:asciiTheme="minorEastAsia" w:hAnsiTheme="minorEastAsia" w:eastAsiaTheme="minorEastAsia"/>
        </w:rPr>
        <w:t>非DICOM）、音频数据、视频数据、基因组学类型数据等。</w:t>
      </w:r>
    </w:p>
    <w:p>
      <w:pPr>
        <w:pStyle w:val="19"/>
        <w:numPr>
          <w:ilvl w:val="1"/>
          <w:numId w:val="3"/>
        </w:numPr>
        <w:spacing w:line="360" w:lineRule="auto"/>
        <w:ind w:firstLineChars="0"/>
        <w:rPr>
          <w:rFonts w:asciiTheme="minorEastAsia" w:hAnsiTheme="minorEastAsia" w:eastAsiaTheme="minorEastAsia"/>
        </w:rPr>
      </w:pPr>
      <w:r>
        <w:rPr>
          <w:rFonts w:hint="eastAsia" w:asciiTheme="minorEastAsia" w:hAnsiTheme="minorEastAsia" w:eastAsiaTheme="minorEastAsia"/>
        </w:rPr>
        <w:t>多来源数据：院内各场景数据（ODR、CDR、RDR</w:t>
      </w:r>
      <w:r>
        <w:rPr>
          <w:rFonts w:asciiTheme="minorEastAsia" w:hAnsiTheme="minorEastAsia" w:eastAsiaTheme="minorEastAsia"/>
        </w:rPr>
        <w:t>）</w:t>
      </w:r>
      <w:r>
        <w:rPr>
          <w:rFonts w:hint="eastAsia" w:asciiTheme="minorEastAsia" w:hAnsiTheme="minorEastAsia" w:eastAsiaTheme="minorEastAsia"/>
        </w:rPr>
        <w:t>、文献数据库（</w:t>
      </w:r>
      <w:r>
        <w:rPr>
          <w:rFonts w:asciiTheme="minorEastAsia" w:hAnsiTheme="minorEastAsia" w:eastAsiaTheme="minorEastAsia"/>
        </w:rPr>
        <w:t>pubmed</w:t>
      </w:r>
      <w:r>
        <w:rPr>
          <w:rFonts w:hint="eastAsia" w:asciiTheme="minorEastAsia" w:hAnsiTheme="minorEastAsia" w:eastAsiaTheme="minorEastAsia"/>
        </w:rPr>
        <w:t>）、政府医疗系统/数据中心、企业/高效合作数据项目等。</w:t>
      </w:r>
    </w:p>
    <w:p>
      <w:pPr>
        <w:pStyle w:val="19"/>
        <w:numPr>
          <w:ilvl w:val="1"/>
          <w:numId w:val="3"/>
        </w:numPr>
        <w:spacing w:line="360" w:lineRule="auto"/>
        <w:ind w:firstLineChars="0"/>
        <w:rPr>
          <w:rFonts w:asciiTheme="minorEastAsia" w:hAnsiTheme="minorEastAsia" w:eastAsiaTheme="minorEastAsia"/>
        </w:rPr>
      </w:pPr>
      <w:r>
        <w:rPr>
          <w:rFonts w:hint="eastAsia" w:asciiTheme="minorEastAsia" w:hAnsiTheme="minorEastAsia" w:eastAsiaTheme="minorEastAsia"/>
        </w:rPr>
        <w:t>多方式采集：数据库同步采集、推送接口采集、页面数据抓取采集、文件上报采集等。</w:t>
      </w:r>
    </w:p>
    <w:p>
      <w:pPr>
        <w:pStyle w:val="19"/>
        <w:numPr>
          <w:ilvl w:val="0"/>
          <w:numId w:val="3"/>
        </w:numPr>
        <w:spacing w:line="360" w:lineRule="auto"/>
        <w:ind w:firstLineChars="0"/>
        <w:rPr>
          <w:rFonts w:asciiTheme="minorEastAsia" w:hAnsiTheme="minorEastAsia" w:eastAsiaTheme="minorEastAsia"/>
        </w:rPr>
      </w:pPr>
      <w:r>
        <w:rPr>
          <w:rFonts w:hint="eastAsia" w:asciiTheme="minorEastAsia" w:hAnsiTheme="minorEastAsia" w:eastAsiaTheme="minorEastAsia"/>
        </w:rPr>
        <w:t>支持数据虚拟化技术</w:t>
      </w:r>
    </w:p>
    <w:p>
      <w:pPr>
        <w:pStyle w:val="19"/>
        <w:numPr>
          <w:ilvl w:val="1"/>
          <w:numId w:val="3"/>
        </w:numPr>
        <w:spacing w:line="360" w:lineRule="auto"/>
        <w:ind w:firstLineChars="0"/>
        <w:rPr>
          <w:rFonts w:asciiTheme="minorEastAsia" w:hAnsiTheme="minorEastAsia" w:eastAsiaTheme="minorEastAsia"/>
        </w:rPr>
      </w:pPr>
      <w:r>
        <w:rPr>
          <w:rFonts w:hint="eastAsia" w:asciiTheme="minorEastAsia" w:hAnsiTheme="minorEastAsia" w:eastAsiaTheme="minorEastAsia"/>
        </w:rPr>
        <w:t>虚拟数据集成：允许在数据湖内集成和聚合来自不同物理位置和不同格式的数据，无需将数据移动到中央存储器中，降低存储成本。</w:t>
      </w:r>
    </w:p>
    <w:p>
      <w:pPr>
        <w:pStyle w:val="19"/>
        <w:numPr>
          <w:ilvl w:val="1"/>
          <w:numId w:val="3"/>
        </w:numPr>
        <w:spacing w:line="360" w:lineRule="auto"/>
        <w:ind w:firstLineChars="0"/>
        <w:rPr>
          <w:rFonts w:asciiTheme="minorEastAsia" w:hAnsiTheme="minorEastAsia" w:eastAsiaTheme="minorEastAsia"/>
        </w:rPr>
      </w:pPr>
      <w:r>
        <w:rPr>
          <w:rFonts w:hint="eastAsia" w:asciiTheme="minorEastAsia" w:hAnsiTheme="minorEastAsia" w:eastAsiaTheme="minorEastAsia"/>
        </w:rPr>
        <w:t>虚拟数据访问：支持虚拟层数据的实时访问，并可以在虚拟视图中进行转换、操作和管理等操作。</w:t>
      </w:r>
    </w:p>
    <w:p>
      <w:pPr>
        <w:pStyle w:val="19"/>
        <w:numPr>
          <w:ilvl w:val="0"/>
          <w:numId w:val="3"/>
        </w:numPr>
        <w:spacing w:line="360" w:lineRule="auto"/>
        <w:ind w:firstLineChars="0"/>
        <w:rPr>
          <w:rFonts w:asciiTheme="minorEastAsia" w:hAnsiTheme="minorEastAsia" w:eastAsiaTheme="minorEastAsia"/>
        </w:rPr>
      </w:pPr>
      <w:r>
        <w:rPr>
          <w:rFonts w:hint="eastAsia" w:asciiTheme="minorEastAsia" w:hAnsiTheme="minorEastAsia" w:eastAsiaTheme="minorEastAsia"/>
        </w:rPr>
        <w:t>支持流批一体架构</w:t>
      </w:r>
    </w:p>
    <w:p>
      <w:pPr>
        <w:pStyle w:val="19"/>
        <w:numPr>
          <w:ilvl w:val="1"/>
          <w:numId w:val="3"/>
        </w:numPr>
        <w:spacing w:line="360" w:lineRule="auto"/>
        <w:ind w:firstLineChars="0"/>
        <w:rPr>
          <w:rFonts w:asciiTheme="minorEastAsia" w:hAnsiTheme="minorEastAsia" w:eastAsiaTheme="minorEastAsia"/>
        </w:rPr>
      </w:pPr>
      <w:r>
        <w:rPr>
          <w:rFonts w:hint="eastAsia" w:asciiTheme="minorEastAsia" w:hAnsiTheme="minorEastAsia" w:eastAsiaTheme="minorEastAsia"/>
        </w:rPr>
        <w:t>流批一体集成引擎：将不同来源的多模态数据通过流批一体的方式统一集成，业务系统通过实时变更数据捕捉接入数据湖，病历文书等数据以批量方式接入数据湖。</w:t>
      </w:r>
    </w:p>
    <w:p>
      <w:pPr>
        <w:pStyle w:val="19"/>
        <w:numPr>
          <w:ilvl w:val="1"/>
          <w:numId w:val="3"/>
        </w:numPr>
        <w:spacing w:line="360" w:lineRule="auto"/>
        <w:ind w:firstLineChars="0"/>
        <w:rPr>
          <w:rFonts w:asciiTheme="minorEastAsia" w:hAnsiTheme="minorEastAsia" w:eastAsiaTheme="minorEastAsia"/>
        </w:rPr>
      </w:pPr>
      <w:r>
        <w:rPr>
          <w:rFonts w:hint="eastAsia" w:asciiTheme="minorEastAsia" w:hAnsiTheme="minorEastAsia" w:eastAsiaTheme="minorEastAsia"/>
        </w:rPr>
        <w:t>流批一体更新引擎：支持可视化配置一键入湖、支持千表秒级入湖、支持主键+字段更新。</w:t>
      </w:r>
    </w:p>
    <w:p>
      <w:pPr>
        <w:pStyle w:val="19"/>
        <w:numPr>
          <w:ilvl w:val="1"/>
          <w:numId w:val="3"/>
        </w:numPr>
        <w:spacing w:line="360" w:lineRule="auto"/>
        <w:ind w:firstLineChars="0"/>
        <w:rPr>
          <w:rFonts w:asciiTheme="minorEastAsia" w:hAnsiTheme="minorEastAsia" w:eastAsiaTheme="minorEastAsia"/>
        </w:rPr>
      </w:pPr>
      <w:r>
        <w:rPr>
          <w:rFonts w:hint="eastAsia" w:asciiTheme="minorEastAsia" w:hAnsiTheme="minorEastAsia" w:eastAsiaTheme="minorEastAsia"/>
        </w:rPr>
        <w:t>流批一体计算引擎：支持数据统一计算，支持统一的SQL标准及多OLAP计算引擎，一套代码脚本支持开发流与批两种任务，提高资源利用效率。</w:t>
      </w:r>
    </w:p>
    <w:p>
      <w:pPr>
        <w:pStyle w:val="19"/>
        <w:numPr>
          <w:ilvl w:val="0"/>
          <w:numId w:val="3"/>
        </w:numPr>
        <w:spacing w:line="360" w:lineRule="auto"/>
        <w:ind w:firstLineChars="0"/>
        <w:rPr>
          <w:rFonts w:asciiTheme="minorEastAsia" w:hAnsiTheme="minorEastAsia" w:eastAsiaTheme="minorEastAsia"/>
        </w:rPr>
      </w:pPr>
      <w:r>
        <w:rPr>
          <w:rFonts w:hint="eastAsia" w:asciiTheme="minorEastAsia" w:hAnsiTheme="minorEastAsia" w:eastAsiaTheme="minorEastAsia"/>
        </w:rPr>
        <w:t>支持湖仓一体架构</w:t>
      </w:r>
    </w:p>
    <w:p>
      <w:pPr>
        <w:pStyle w:val="19"/>
        <w:numPr>
          <w:ilvl w:val="1"/>
          <w:numId w:val="3"/>
        </w:numPr>
        <w:spacing w:line="360" w:lineRule="auto"/>
        <w:ind w:firstLineChars="0"/>
        <w:rPr>
          <w:rFonts w:asciiTheme="minorEastAsia" w:hAnsiTheme="minorEastAsia" w:eastAsiaTheme="minorEastAsia"/>
        </w:rPr>
      </w:pPr>
      <w:r>
        <w:rPr>
          <w:rFonts w:hint="eastAsia" w:asciiTheme="minorEastAsia" w:hAnsiTheme="minorEastAsia" w:eastAsiaTheme="minorEastAsia"/>
        </w:rPr>
        <w:t>统一元数据管理：统一湖仓的元数据以及权限管理策略，湖仓共用同一套元数据，保证业务逻辑统一及数据口径一致性，形成一体化的数据入口，能够支撑上层多种分析工具对数据进行透明访问，提升数据湖应用的时效性。</w:t>
      </w:r>
    </w:p>
    <w:p>
      <w:pPr>
        <w:pStyle w:val="19"/>
        <w:numPr>
          <w:ilvl w:val="1"/>
          <w:numId w:val="3"/>
        </w:numPr>
        <w:spacing w:line="360" w:lineRule="auto"/>
        <w:ind w:firstLineChars="0"/>
        <w:rPr>
          <w:rFonts w:asciiTheme="minorEastAsia" w:hAnsiTheme="minorEastAsia" w:eastAsiaTheme="minorEastAsia"/>
        </w:rPr>
      </w:pPr>
      <w:r>
        <w:rPr>
          <w:rFonts w:hint="eastAsia" w:asciiTheme="minorEastAsia" w:hAnsiTheme="minorEastAsia" w:eastAsiaTheme="minorEastAsia"/>
        </w:rPr>
        <w:t>统一建模管理：支持实时增量数据更新和全量数据更新的湖仓模型。</w:t>
      </w:r>
    </w:p>
    <w:p>
      <w:pPr>
        <w:pStyle w:val="19"/>
        <w:numPr>
          <w:ilvl w:val="1"/>
          <w:numId w:val="3"/>
        </w:numPr>
        <w:spacing w:line="360" w:lineRule="auto"/>
        <w:ind w:firstLineChars="0"/>
        <w:rPr>
          <w:rFonts w:asciiTheme="minorEastAsia" w:hAnsiTheme="minorEastAsia" w:eastAsiaTheme="minorEastAsia"/>
        </w:rPr>
      </w:pPr>
      <w:r>
        <w:rPr>
          <w:rFonts w:hint="eastAsia" w:asciiTheme="minorEastAsia" w:hAnsiTheme="minorEastAsia" w:eastAsiaTheme="minorEastAsia"/>
        </w:rPr>
        <w:t>统一存储管理：支持结构化、半结构化、非结构化多模态数据统一存储。</w:t>
      </w:r>
    </w:p>
    <w:p>
      <w:pPr>
        <w:pStyle w:val="19"/>
        <w:numPr>
          <w:ilvl w:val="0"/>
          <w:numId w:val="3"/>
        </w:numPr>
        <w:spacing w:line="360" w:lineRule="auto"/>
        <w:ind w:firstLineChars="0"/>
        <w:rPr>
          <w:rFonts w:asciiTheme="minorEastAsia" w:hAnsiTheme="minorEastAsia" w:eastAsiaTheme="minorEastAsia"/>
        </w:rPr>
      </w:pPr>
      <w:r>
        <w:rPr>
          <w:rFonts w:hint="eastAsia" w:asciiTheme="minorEastAsia" w:hAnsiTheme="minorEastAsia" w:eastAsiaTheme="minorEastAsia"/>
        </w:rPr>
        <w:t>支持国产化及开源技术</w:t>
      </w:r>
    </w:p>
    <w:p>
      <w:pPr>
        <w:pStyle w:val="19"/>
        <w:numPr>
          <w:ilvl w:val="1"/>
          <w:numId w:val="3"/>
        </w:numPr>
        <w:spacing w:line="360" w:lineRule="auto"/>
        <w:ind w:firstLineChars="0"/>
        <w:rPr>
          <w:rFonts w:asciiTheme="minorEastAsia" w:hAnsiTheme="minorEastAsia" w:eastAsiaTheme="minorEastAsia"/>
        </w:rPr>
      </w:pPr>
      <w:r>
        <w:rPr>
          <w:rFonts w:hint="eastAsia" w:asciiTheme="minorEastAsia" w:hAnsiTheme="minorEastAsia" w:eastAsiaTheme="minorEastAsia"/>
        </w:rPr>
        <w:t>支持主流国产数据库的数据采集适配</w:t>
      </w:r>
    </w:p>
    <w:p>
      <w:pPr>
        <w:pStyle w:val="19"/>
        <w:numPr>
          <w:ilvl w:val="1"/>
          <w:numId w:val="3"/>
        </w:numPr>
        <w:spacing w:line="360" w:lineRule="auto"/>
        <w:ind w:firstLineChars="0"/>
        <w:rPr>
          <w:rFonts w:asciiTheme="minorEastAsia" w:hAnsiTheme="minorEastAsia" w:eastAsiaTheme="minorEastAsia"/>
        </w:rPr>
      </w:pPr>
      <w:r>
        <w:rPr>
          <w:rFonts w:hint="eastAsia" w:asciiTheme="minorEastAsia" w:hAnsiTheme="minorEastAsia" w:eastAsiaTheme="minorEastAsia"/>
        </w:rPr>
        <w:t>使用国产及开源大数据技术构建数据湖</w:t>
      </w:r>
    </w:p>
    <w:p>
      <w:pPr>
        <w:pStyle w:val="5"/>
        <w:spacing w:line="360" w:lineRule="auto"/>
        <w:rPr>
          <w:rFonts w:asciiTheme="minorEastAsia" w:hAnsiTheme="minorEastAsia" w:eastAsiaTheme="minorEastAsia"/>
        </w:rPr>
      </w:pPr>
      <w:r>
        <w:rPr>
          <w:rFonts w:hint="eastAsia" w:asciiTheme="minorEastAsia" w:hAnsiTheme="minorEastAsia" w:eastAsiaTheme="minorEastAsia"/>
        </w:rPr>
        <w:t>1.2数据湖治理平台</w:t>
      </w:r>
    </w:p>
    <w:p>
      <w:pPr>
        <w:pStyle w:val="19"/>
        <w:spacing w:line="360" w:lineRule="auto"/>
        <w:ind w:left="420" w:firstLineChars="0"/>
        <w:rPr>
          <w:rFonts w:asciiTheme="minorEastAsia" w:hAnsiTheme="minorEastAsia" w:eastAsiaTheme="minorEastAsia"/>
        </w:rPr>
      </w:pPr>
      <w:r>
        <w:rPr>
          <w:rFonts w:hint="eastAsia" w:asciiTheme="minorEastAsia" w:hAnsiTheme="minorEastAsia" w:eastAsiaTheme="minorEastAsia"/>
        </w:rPr>
        <w:t>对数据湖所有数据进行统一治理，根据不同模态的数据内容在数据抽取、数据清洗、数据标准化、数据结构化、数据时序化等环节匹配适合的技术手段，加工成可便捷使用的高质量数据资产，满足科研、临床、运营等不同领域使用，主要的功能要求包括：</w:t>
      </w:r>
    </w:p>
    <w:p>
      <w:pPr>
        <w:pStyle w:val="19"/>
        <w:numPr>
          <w:ilvl w:val="0"/>
          <w:numId w:val="4"/>
        </w:numPr>
        <w:spacing w:line="360" w:lineRule="auto"/>
        <w:ind w:firstLineChars="0"/>
        <w:rPr>
          <w:rFonts w:asciiTheme="minorEastAsia" w:hAnsiTheme="minorEastAsia" w:eastAsiaTheme="minorEastAsia"/>
        </w:rPr>
      </w:pPr>
      <w:r>
        <w:rPr>
          <w:rFonts w:hint="eastAsia" w:asciiTheme="minorEastAsia" w:hAnsiTheme="minorEastAsia" w:eastAsiaTheme="minorEastAsia"/>
        </w:rPr>
        <w:t>数据转模处理</w:t>
      </w:r>
    </w:p>
    <w:p>
      <w:pPr>
        <w:pStyle w:val="19"/>
        <w:spacing w:line="360" w:lineRule="auto"/>
        <w:ind w:left="1260" w:firstLineChars="0"/>
        <w:rPr>
          <w:rFonts w:asciiTheme="minorEastAsia" w:hAnsiTheme="minorEastAsia" w:eastAsiaTheme="minorEastAsia"/>
        </w:rPr>
      </w:pPr>
      <w:r>
        <w:rPr>
          <w:rFonts w:hint="eastAsia" w:asciiTheme="minorEastAsia" w:hAnsiTheme="minorEastAsia" w:eastAsiaTheme="minorEastAsia"/>
        </w:rPr>
        <w:t>根据不同模态类型的数据，进行数据转模、分类、数据特征提取、数据对象关联等操作。</w:t>
      </w:r>
    </w:p>
    <w:p>
      <w:pPr>
        <w:pStyle w:val="19"/>
        <w:numPr>
          <w:ilvl w:val="0"/>
          <w:numId w:val="5"/>
        </w:numPr>
        <w:spacing w:line="360" w:lineRule="auto"/>
        <w:ind w:firstLineChars="0"/>
        <w:rPr>
          <w:rFonts w:asciiTheme="minorEastAsia" w:hAnsiTheme="minorEastAsia" w:eastAsiaTheme="minorEastAsia"/>
        </w:rPr>
      </w:pPr>
      <w:r>
        <w:rPr>
          <w:rFonts w:hint="eastAsia" w:asciiTheme="minorEastAsia" w:hAnsiTheme="minorEastAsia" w:eastAsiaTheme="minorEastAsia"/>
        </w:rPr>
        <w:t>医学影像：对入湖的医学影像进行分类和特征提取等处理，并与诊疗系统的电子诊断报告数据进行关联。</w:t>
      </w:r>
    </w:p>
    <w:p>
      <w:pPr>
        <w:pStyle w:val="19"/>
        <w:numPr>
          <w:ilvl w:val="0"/>
          <w:numId w:val="5"/>
        </w:numPr>
        <w:spacing w:line="360" w:lineRule="auto"/>
        <w:ind w:firstLineChars="0"/>
        <w:rPr>
          <w:rFonts w:asciiTheme="minorEastAsia" w:hAnsiTheme="minorEastAsia" w:eastAsiaTheme="minorEastAsia"/>
        </w:rPr>
      </w:pPr>
      <w:r>
        <w:rPr>
          <w:rFonts w:hint="eastAsia" w:asciiTheme="minorEastAsia" w:hAnsiTheme="minorEastAsia" w:eastAsiaTheme="minorEastAsia"/>
        </w:rPr>
        <w:t>图片/</w:t>
      </w:r>
      <w:r>
        <w:rPr>
          <w:rFonts w:asciiTheme="minorEastAsia" w:hAnsiTheme="minorEastAsia" w:eastAsiaTheme="minorEastAsia"/>
        </w:rPr>
        <w:t>PDF</w:t>
      </w:r>
      <w:r>
        <w:rPr>
          <w:rFonts w:hint="eastAsia" w:asciiTheme="minorEastAsia" w:hAnsiTheme="minorEastAsia" w:eastAsiaTheme="minorEastAsia"/>
        </w:rPr>
        <w:t>：对入湖的的各类用户上传纸质文书/报告进行分类，并完成O</w:t>
      </w:r>
      <w:r>
        <w:rPr>
          <w:rFonts w:asciiTheme="minorEastAsia" w:hAnsiTheme="minorEastAsia" w:eastAsiaTheme="minorEastAsia"/>
        </w:rPr>
        <w:t>CR</w:t>
      </w:r>
      <w:r>
        <w:rPr>
          <w:rFonts w:hint="eastAsia" w:asciiTheme="minorEastAsia" w:hAnsiTheme="minorEastAsia" w:eastAsiaTheme="minorEastAsia"/>
        </w:rPr>
        <w:t>电子化识别，包括版式解析还原及结构数据提取等工作。</w:t>
      </w:r>
    </w:p>
    <w:p>
      <w:pPr>
        <w:pStyle w:val="19"/>
        <w:numPr>
          <w:ilvl w:val="0"/>
          <w:numId w:val="5"/>
        </w:numPr>
        <w:spacing w:line="360" w:lineRule="auto"/>
        <w:ind w:firstLineChars="0"/>
        <w:rPr>
          <w:rFonts w:asciiTheme="minorEastAsia" w:hAnsiTheme="minorEastAsia" w:eastAsiaTheme="minorEastAsia"/>
        </w:rPr>
      </w:pPr>
      <w:r>
        <w:rPr>
          <w:rFonts w:hint="eastAsia" w:asciiTheme="minorEastAsia" w:hAnsiTheme="minorEastAsia" w:eastAsiaTheme="minorEastAsia"/>
        </w:rPr>
        <w:t>音频：对入湖的多场景音频数据进行分类，并进行语音内容、音轨的识别。</w:t>
      </w:r>
    </w:p>
    <w:p>
      <w:pPr>
        <w:pStyle w:val="19"/>
        <w:numPr>
          <w:ilvl w:val="0"/>
          <w:numId w:val="5"/>
        </w:numPr>
        <w:spacing w:line="360" w:lineRule="auto"/>
        <w:ind w:firstLineChars="0"/>
        <w:rPr>
          <w:rFonts w:asciiTheme="minorEastAsia" w:hAnsiTheme="minorEastAsia" w:eastAsiaTheme="minorEastAsia"/>
        </w:rPr>
      </w:pPr>
      <w:r>
        <w:rPr>
          <w:rFonts w:hint="eastAsia" w:asciiTheme="minorEastAsia" w:hAnsiTheme="minorEastAsia" w:eastAsiaTheme="minorEastAsia"/>
        </w:rPr>
        <w:t>视频：对入湖的各类视频进行分类，并完成视频内主体生物特征和行为特征提取。</w:t>
      </w:r>
    </w:p>
    <w:p>
      <w:pPr>
        <w:pStyle w:val="19"/>
        <w:numPr>
          <w:ilvl w:val="0"/>
          <w:numId w:val="5"/>
        </w:numPr>
        <w:spacing w:line="360" w:lineRule="auto"/>
        <w:ind w:firstLineChars="0"/>
        <w:rPr>
          <w:rFonts w:asciiTheme="minorEastAsia" w:hAnsiTheme="minorEastAsia" w:eastAsiaTheme="minorEastAsia"/>
        </w:rPr>
      </w:pPr>
      <w:r>
        <w:rPr>
          <w:rFonts w:hint="eastAsia" w:asciiTheme="minorEastAsia" w:hAnsiTheme="minorEastAsia" w:eastAsiaTheme="minorEastAsia"/>
        </w:rPr>
        <w:t>基因组学：针对16</w:t>
      </w:r>
      <w:r>
        <w:rPr>
          <w:rFonts w:asciiTheme="minorEastAsia" w:hAnsiTheme="minorEastAsia" w:eastAsiaTheme="minorEastAsia"/>
        </w:rPr>
        <w:t>s</w:t>
      </w:r>
      <w:r>
        <w:rPr>
          <w:rFonts w:hint="eastAsia" w:asciiTheme="minorEastAsia" w:hAnsiTheme="minorEastAsia" w:eastAsiaTheme="minorEastAsia"/>
        </w:rPr>
        <w:t>测序、宏观基因测试、蛋白质测序、三代基因测序等基因数据进行转换，提取生成基因表达值数据。</w:t>
      </w:r>
    </w:p>
    <w:p>
      <w:pPr>
        <w:pStyle w:val="19"/>
        <w:numPr>
          <w:ilvl w:val="0"/>
          <w:numId w:val="4"/>
        </w:numPr>
        <w:spacing w:line="360" w:lineRule="auto"/>
        <w:ind w:firstLineChars="0"/>
        <w:rPr>
          <w:rFonts w:asciiTheme="minorEastAsia" w:hAnsiTheme="minorEastAsia" w:eastAsiaTheme="minorEastAsia"/>
        </w:rPr>
      </w:pPr>
      <w:r>
        <w:rPr>
          <w:rFonts w:hint="eastAsia" w:asciiTheme="minorEastAsia" w:hAnsiTheme="minorEastAsia" w:eastAsiaTheme="minorEastAsia"/>
        </w:rPr>
        <w:t>数据清洗处理</w:t>
      </w:r>
    </w:p>
    <w:p>
      <w:pPr>
        <w:pStyle w:val="19"/>
        <w:spacing w:line="360" w:lineRule="auto"/>
        <w:ind w:left="1260" w:firstLineChars="0"/>
        <w:rPr>
          <w:rFonts w:asciiTheme="minorEastAsia" w:hAnsiTheme="minorEastAsia" w:eastAsiaTheme="minorEastAsia"/>
        </w:rPr>
      </w:pPr>
      <w:r>
        <w:rPr>
          <w:rFonts w:hint="eastAsia" w:asciiTheme="minorEastAsia" w:hAnsiTheme="minorEastAsia" w:eastAsiaTheme="minorEastAsia"/>
        </w:rPr>
        <w:t>对采集的院内及院外数据，基于数据清洗规则，实现多种模态、百亿级数据的快速处理，以及数据自动清洗入库，保证入湖数据质量。</w:t>
      </w:r>
    </w:p>
    <w:tbl>
      <w:tblPr>
        <w:tblStyle w:val="12"/>
        <w:tblW w:w="5000" w:type="pct"/>
        <w:tblInd w:w="0" w:type="dxa"/>
        <w:tblLayout w:type="autofit"/>
        <w:tblCellMar>
          <w:top w:w="0" w:type="dxa"/>
          <w:left w:w="108" w:type="dxa"/>
          <w:bottom w:w="0" w:type="dxa"/>
          <w:right w:w="108" w:type="dxa"/>
        </w:tblCellMar>
      </w:tblPr>
      <w:tblGrid>
        <w:gridCol w:w="2217"/>
        <w:gridCol w:w="3945"/>
        <w:gridCol w:w="3124"/>
      </w:tblGrid>
      <w:tr>
        <w:tblPrEx>
          <w:tblCellMar>
            <w:top w:w="0" w:type="dxa"/>
            <w:left w:w="108" w:type="dxa"/>
            <w:bottom w:w="0" w:type="dxa"/>
            <w:right w:w="108" w:type="dxa"/>
          </w:tblCellMar>
        </w:tblPrEx>
        <w:trPr>
          <w:trHeight w:val="280" w:hRule="atLeast"/>
        </w:trPr>
        <w:tc>
          <w:tcPr>
            <w:tcW w:w="1194" w:type="pct"/>
            <w:tcBorders>
              <w:top w:val="single" w:color="auto" w:sz="4" w:space="0"/>
              <w:left w:val="single" w:color="auto" w:sz="4" w:space="0"/>
              <w:bottom w:val="single" w:color="auto" w:sz="4" w:space="0"/>
              <w:right w:val="single" w:color="auto" w:sz="4" w:space="0"/>
            </w:tcBorders>
            <w:shd w:val="clear" w:color="auto" w:fill="B8CCE4" w:themeFill="accent1" w:themeFillTint="66"/>
            <w:noWrap/>
            <w:vAlign w:val="center"/>
          </w:tcPr>
          <w:p>
            <w:pPr>
              <w:spacing w:line="36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数据模态</w:t>
            </w:r>
          </w:p>
        </w:tc>
        <w:tc>
          <w:tcPr>
            <w:tcW w:w="2124" w:type="pct"/>
            <w:tcBorders>
              <w:top w:val="single" w:color="auto" w:sz="4" w:space="0"/>
              <w:left w:val="nil"/>
              <w:bottom w:val="single" w:color="auto" w:sz="4" w:space="0"/>
              <w:right w:val="single" w:color="auto" w:sz="4" w:space="0"/>
            </w:tcBorders>
            <w:shd w:val="clear" w:color="auto" w:fill="B8CCE4" w:themeFill="accent1" w:themeFillTint="66"/>
            <w:noWrap/>
            <w:vAlign w:val="center"/>
          </w:tcPr>
          <w:p>
            <w:pPr>
              <w:spacing w:line="36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基础清洗</w:t>
            </w:r>
          </w:p>
        </w:tc>
        <w:tc>
          <w:tcPr>
            <w:tcW w:w="1682" w:type="pct"/>
            <w:tcBorders>
              <w:top w:val="single" w:color="auto" w:sz="4" w:space="0"/>
              <w:left w:val="nil"/>
              <w:bottom w:val="single" w:color="auto" w:sz="4" w:space="0"/>
              <w:right w:val="single" w:color="auto" w:sz="4" w:space="0"/>
            </w:tcBorders>
            <w:shd w:val="clear" w:color="auto" w:fill="B8CCE4" w:themeFill="accent1" w:themeFillTint="66"/>
            <w:noWrap/>
            <w:vAlign w:val="center"/>
          </w:tcPr>
          <w:p>
            <w:pPr>
              <w:spacing w:line="36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高级清洗</w:t>
            </w:r>
          </w:p>
        </w:tc>
      </w:tr>
      <w:tr>
        <w:tblPrEx>
          <w:tblCellMar>
            <w:top w:w="0" w:type="dxa"/>
            <w:left w:w="108" w:type="dxa"/>
            <w:bottom w:w="0" w:type="dxa"/>
            <w:right w:w="108" w:type="dxa"/>
          </w:tblCellMar>
        </w:tblPrEx>
        <w:trPr>
          <w:trHeight w:val="280" w:hRule="atLeast"/>
        </w:trPr>
        <w:tc>
          <w:tcPr>
            <w:tcW w:w="1194" w:type="pct"/>
            <w:tcBorders>
              <w:top w:val="nil"/>
              <w:left w:val="single" w:color="auto" w:sz="4" w:space="0"/>
              <w:bottom w:val="single" w:color="auto" w:sz="4" w:space="0"/>
              <w:right w:val="single" w:color="auto" w:sz="4" w:space="0"/>
            </w:tcBorders>
            <w:shd w:val="clear" w:color="auto" w:fill="auto"/>
            <w:noWrap/>
            <w:vAlign w:val="center"/>
          </w:tcPr>
          <w:p>
            <w:pPr>
              <w:spacing w:line="36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结构化数据</w:t>
            </w:r>
          </w:p>
        </w:tc>
        <w:tc>
          <w:tcPr>
            <w:tcW w:w="2124" w:type="pct"/>
            <w:tcBorders>
              <w:top w:val="nil"/>
              <w:left w:val="nil"/>
              <w:bottom w:val="single" w:color="auto" w:sz="4" w:space="0"/>
              <w:right w:val="single" w:color="auto" w:sz="4" w:space="0"/>
            </w:tcBorders>
            <w:shd w:val="clear" w:color="auto" w:fill="auto"/>
            <w:noWrap/>
            <w:vAlign w:val="center"/>
          </w:tcPr>
          <w:p>
            <w:pPr>
              <w:spacing w:line="36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非法、不规范数据识别</w:t>
            </w:r>
          </w:p>
        </w:tc>
        <w:tc>
          <w:tcPr>
            <w:tcW w:w="1682" w:type="pct"/>
            <w:vMerge w:val="restart"/>
            <w:tcBorders>
              <w:top w:val="nil"/>
              <w:left w:val="single" w:color="auto" w:sz="4" w:space="0"/>
              <w:bottom w:val="single" w:color="000000" w:sz="4" w:space="0"/>
              <w:right w:val="single" w:color="auto" w:sz="4" w:space="0"/>
            </w:tcBorders>
            <w:shd w:val="clear" w:color="auto" w:fill="auto"/>
            <w:vAlign w:val="center"/>
          </w:tcPr>
          <w:p>
            <w:pPr>
              <w:spacing w:line="36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基于AI模型和医学领域知识，对数据进行合理性校验</w:t>
            </w:r>
          </w:p>
        </w:tc>
      </w:tr>
      <w:tr>
        <w:tblPrEx>
          <w:tblCellMar>
            <w:top w:w="0" w:type="dxa"/>
            <w:left w:w="108" w:type="dxa"/>
            <w:bottom w:w="0" w:type="dxa"/>
            <w:right w:w="108" w:type="dxa"/>
          </w:tblCellMar>
        </w:tblPrEx>
        <w:trPr>
          <w:trHeight w:val="280" w:hRule="atLeast"/>
        </w:trPr>
        <w:tc>
          <w:tcPr>
            <w:tcW w:w="1194" w:type="pct"/>
            <w:tcBorders>
              <w:top w:val="nil"/>
              <w:left w:val="single" w:color="auto" w:sz="4" w:space="0"/>
              <w:bottom w:val="single" w:color="auto" w:sz="4" w:space="0"/>
              <w:right w:val="single" w:color="auto" w:sz="4" w:space="0"/>
            </w:tcBorders>
            <w:shd w:val="clear" w:color="auto" w:fill="auto"/>
            <w:noWrap/>
            <w:vAlign w:val="center"/>
          </w:tcPr>
          <w:p>
            <w:pPr>
              <w:spacing w:line="36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医学影像</w:t>
            </w:r>
          </w:p>
        </w:tc>
        <w:tc>
          <w:tcPr>
            <w:tcW w:w="2124" w:type="pct"/>
            <w:tcBorders>
              <w:top w:val="nil"/>
              <w:left w:val="nil"/>
              <w:bottom w:val="single" w:color="auto" w:sz="4" w:space="0"/>
              <w:right w:val="single" w:color="auto" w:sz="4" w:space="0"/>
            </w:tcBorders>
            <w:shd w:val="clear" w:color="auto" w:fill="auto"/>
            <w:noWrap/>
            <w:vAlign w:val="center"/>
          </w:tcPr>
          <w:p>
            <w:pPr>
              <w:spacing w:line="36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无效、废弃影像识别</w:t>
            </w:r>
          </w:p>
        </w:tc>
        <w:tc>
          <w:tcPr>
            <w:tcW w:w="1682" w:type="pct"/>
            <w:vMerge w:val="continue"/>
            <w:tcBorders>
              <w:top w:val="nil"/>
              <w:left w:val="single" w:color="auto" w:sz="4" w:space="0"/>
              <w:bottom w:val="single" w:color="000000" w:sz="4" w:space="0"/>
              <w:right w:val="single" w:color="auto" w:sz="4" w:space="0"/>
            </w:tcBorders>
            <w:vAlign w:val="center"/>
          </w:tcPr>
          <w:p>
            <w:pPr>
              <w:spacing w:line="360" w:lineRule="auto"/>
              <w:rPr>
                <w:rFonts w:asciiTheme="minorEastAsia" w:hAnsiTheme="minorEastAsia" w:eastAsiaTheme="minorEastAsia"/>
                <w:sz w:val="22"/>
                <w:szCs w:val="22"/>
              </w:rPr>
            </w:pPr>
          </w:p>
        </w:tc>
      </w:tr>
      <w:tr>
        <w:tblPrEx>
          <w:tblCellMar>
            <w:top w:w="0" w:type="dxa"/>
            <w:left w:w="108" w:type="dxa"/>
            <w:bottom w:w="0" w:type="dxa"/>
            <w:right w:w="108" w:type="dxa"/>
          </w:tblCellMar>
        </w:tblPrEx>
        <w:trPr>
          <w:trHeight w:val="280" w:hRule="atLeast"/>
        </w:trPr>
        <w:tc>
          <w:tcPr>
            <w:tcW w:w="1194" w:type="pct"/>
            <w:tcBorders>
              <w:top w:val="nil"/>
              <w:left w:val="single" w:color="auto" w:sz="4" w:space="0"/>
              <w:bottom w:val="single" w:color="auto" w:sz="4" w:space="0"/>
              <w:right w:val="single" w:color="auto" w:sz="4" w:space="0"/>
            </w:tcBorders>
            <w:shd w:val="clear" w:color="auto" w:fill="auto"/>
            <w:noWrap/>
            <w:vAlign w:val="center"/>
          </w:tcPr>
          <w:p>
            <w:pPr>
              <w:spacing w:line="36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图片/PDF</w:t>
            </w:r>
          </w:p>
        </w:tc>
        <w:tc>
          <w:tcPr>
            <w:tcW w:w="2124" w:type="pct"/>
            <w:tcBorders>
              <w:top w:val="nil"/>
              <w:left w:val="nil"/>
              <w:bottom w:val="single" w:color="auto" w:sz="4" w:space="0"/>
              <w:right w:val="single" w:color="auto" w:sz="4" w:space="0"/>
            </w:tcBorders>
            <w:shd w:val="clear" w:color="auto" w:fill="auto"/>
            <w:noWrap/>
            <w:vAlign w:val="center"/>
          </w:tcPr>
          <w:p>
            <w:pPr>
              <w:spacing w:line="36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主体缺失、模糊图片识别</w:t>
            </w:r>
          </w:p>
        </w:tc>
        <w:tc>
          <w:tcPr>
            <w:tcW w:w="1682" w:type="pct"/>
            <w:vMerge w:val="continue"/>
            <w:tcBorders>
              <w:top w:val="nil"/>
              <w:left w:val="single" w:color="auto" w:sz="4" w:space="0"/>
              <w:bottom w:val="single" w:color="000000" w:sz="4" w:space="0"/>
              <w:right w:val="single" w:color="auto" w:sz="4" w:space="0"/>
            </w:tcBorders>
            <w:vAlign w:val="center"/>
          </w:tcPr>
          <w:p>
            <w:pPr>
              <w:spacing w:line="360" w:lineRule="auto"/>
              <w:rPr>
                <w:rFonts w:asciiTheme="minorEastAsia" w:hAnsiTheme="minorEastAsia" w:eastAsiaTheme="minorEastAsia"/>
                <w:sz w:val="22"/>
                <w:szCs w:val="22"/>
              </w:rPr>
            </w:pPr>
          </w:p>
        </w:tc>
      </w:tr>
      <w:tr>
        <w:tblPrEx>
          <w:tblCellMar>
            <w:top w:w="0" w:type="dxa"/>
            <w:left w:w="108" w:type="dxa"/>
            <w:bottom w:w="0" w:type="dxa"/>
            <w:right w:w="108" w:type="dxa"/>
          </w:tblCellMar>
        </w:tblPrEx>
        <w:trPr>
          <w:trHeight w:val="280" w:hRule="atLeast"/>
        </w:trPr>
        <w:tc>
          <w:tcPr>
            <w:tcW w:w="1194" w:type="pct"/>
            <w:tcBorders>
              <w:top w:val="nil"/>
              <w:left w:val="single" w:color="auto" w:sz="4" w:space="0"/>
              <w:bottom w:val="single" w:color="auto" w:sz="4" w:space="0"/>
              <w:right w:val="single" w:color="auto" w:sz="4" w:space="0"/>
            </w:tcBorders>
            <w:shd w:val="clear" w:color="auto" w:fill="auto"/>
            <w:noWrap/>
            <w:vAlign w:val="center"/>
          </w:tcPr>
          <w:p>
            <w:pPr>
              <w:spacing w:line="36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音频</w:t>
            </w:r>
          </w:p>
        </w:tc>
        <w:tc>
          <w:tcPr>
            <w:tcW w:w="2124" w:type="pct"/>
            <w:tcBorders>
              <w:top w:val="nil"/>
              <w:left w:val="nil"/>
              <w:bottom w:val="single" w:color="auto" w:sz="4" w:space="0"/>
              <w:right w:val="single" w:color="auto" w:sz="4" w:space="0"/>
            </w:tcBorders>
            <w:shd w:val="clear" w:color="auto" w:fill="auto"/>
            <w:noWrap/>
            <w:vAlign w:val="center"/>
          </w:tcPr>
          <w:p>
            <w:pPr>
              <w:spacing w:line="36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无效噪音识别、重复识别</w:t>
            </w:r>
          </w:p>
        </w:tc>
        <w:tc>
          <w:tcPr>
            <w:tcW w:w="1682" w:type="pct"/>
            <w:vMerge w:val="continue"/>
            <w:tcBorders>
              <w:top w:val="nil"/>
              <w:left w:val="single" w:color="auto" w:sz="4" w:space="0"/>
              <w:bottom w:val="single" w:color="000000" w:sz="4" w:space="0"/>
              <w:right w:val="single" w:color="auto" w:sz="4" w:space="0"/>
            </w:tcBorders>
            <w:vAlign w:val="center"/>
          </w:tcPr>
          <w:p>
            <w:pPr>
              <w:spacing w:line="360" w:lineRule="auto"/>
              <w:rPr>
                <w:rFonts w:asciiTheme="minorEastAsia" w:hAnsiTheme="minorEastAsia" w:eastAsiaTheme="minorEastAsia"/>
                <w:sz w:val="22"/>
                <w:szCs w:val="22"/>
              </w:rPr>
            </w:pPr>
          </w:p>
        </w:tc>
      </w:tr>
      <w:tr>
        <w:tblPrEx>
          <w:tblCellMar>
            <w:top w:w="0" w:type="dxa"/>
            <w:left w:w="108" w:type="dxa"/>
            <w:bottom w:w="0" w:type="dxa"/>
            <w:right w:w="108" w:type="dxa"/>
          </w:tblCellMar>
        </w:tblPrEx>
        <w:trPr>
          <w:trHeight w:val="280" w:hRule="atLeast"/>
        </w:trPr>
        <w:tc>
          <w:tcPr>
            <w:tcW w:w="1194" w:type="pct"/>
            <w:tcBorders>
              <w:top w:val="nil"/>
              <w:left w:val="single" w:color="auto" w:sz="4" w:space="0"/>
              <w:bottom w:val="single" w:color="auto" w:sz="4" w:space="0"/>
              <w:right w:val="single" w:color="auto" w:sz="4" w:space="0"/>
            </w:tcBorders>
            <w:shd w:val="clear" w:color="auto" w:fill="auto"/>
            <w:noWrap/>
            <w:vAlign w:val="center"/>
          </w:tcPr>
          <w:p>
            <w:pPr>
              <w:spacing w:line="360"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视频</w:t>
            </w:r>
          </w:p>
        </w:tc>
        <w:tc>
          <w:tcPr>
            <w:tcW w:w="2124" w:type="pct"/>
            <w:tcBorders>
              <w:top w:val="nil"/>
              <w:left w:val="nil"/>
              <w:bottom w:val="single" w:color="auto" w:sz="4" w:space="0"/>
              <w:right w:val="single" w:color="auto" w:sz="4" w:space="0"/>
            </w:tcBorders>
            <w:shd w:val="clear" w:color="auto" w:fill="auto"/>
            <w:noWrap/>
            <w:vAlign w:val="center"/>
          </w:tcPr>
          <w:p>
            <w:pPr>
              <w:spacing w:line="360" w:lineRule="auto"/>
              <w:rPr>
                <w:rFonts w:asciiTheme="minorEastAsia" w:hAnsiTheme="minorEastAsia" w:eastAsiaTheme="minorEastAsia"/>
                <w:sz w:val="22"/>
                <w:szCs w:val="22"/>
              </w:rPr>
            </w:pPr>
            <w:r>
              <w:rPr>
                <w:rFonts w:hint="eastAsia" w:asciiTheme="minorEastAsia" w:hAnsiTheme="minorEastAsia" w:eastAsiaTheme="minorEastAsia"/>
                <w:sz w:val="22"/>
                <w:szCs w:val="22"/>
              </w:rPr>
              <w:t>无效噪点识别、重复识别</w:t>
            </w:r>
          </w:p>
        </w:tc>
        <w:tc>
          <w:tcPr>
            <w:tcW w:w="1682" w:type="pct"/>
            <w:vMerge w:val="continue"/>
            <w:tcBorders>
              <w:top w:val="nil"/>
              <w:left w:val="single" w:color="auto" w:sz="4" w:space="0"/>
              <w:bottom w:val="single" w:color="000000" w:sz="4" w:space="0"/>
              <w:right w:val="single" w:color="auto" w:sz="4" w:space="0"/>
            </w:tcBorders>
            <w:vAlign w:val="center"/>
          </w:tcPr>
          <w:p>
            <w:pPr>
              <w:spacing w:line="360" w:lineRule="auto"/>
              <w:rPr>
                <w:rFonts w:asciiTheme="minorEastAsia" w:hAnsiTheme="minorEastAsia" w:eastAsiaTheme="minorEastAsia"/>
                <w:sz w:val="22"/>
                <w:szCs w:val="22"/>
              </w:rPr>
            </w:pPr>
          </w:p>
        </w:tc>
      </w:tr>
    </w:tbl>
    <w:p>
      <w:pPr>
        <w:pStyle w:val="19"/>
        <w:numPr>
          <w:ilvl w:val="0"/>
          <w:numId w:val="4"/>
        </w:numPr>
        <w:spacing w:line="360" w:lineRule="auto"/>
        <w:ind w:firstLineChars="0"/>
        <w:rPr>
          <w:rFonts w:asciiTheme="minorEastAsia" w:hAnsiTheme="minorEastAsia" w:eastAsiaTheme="minorEastAsia"/>
        </w:rPr>
      </w:pPr>
      <w:r>
        <w:rPr>
          <w:rFonts w:hint="eastAsia" w:asciiTheme="minorEastAsia" w:hAnsiTheme="minorEastAsia" w:eastAsiaTheme="minorEastAsia"/>
        </w:rPr>
        <w:t>数据标准处理</w:t>
      </w:r>
    </w:p>
    <w:p>
      <w:pPr>
        <w:pStyle w:val="19"/>
        <w:spacing w:line="360" w:lineRule="auto"/>
        <w:ind w:left="1260" w:firstLineChars="0"/>
        <w:rPr>
          <w:rFonts w:asciiTheme="minorEastAsia" w:hAnsiTheme="minorEastAsia" w:eastAsiaTheme="minorEastAsia"/>
        </w:rPr>
      </w:pPr>
      <w:r>
        <w:rPr>
          <w:rFonts w:hint="eastAsia" w:asciiTheme="minorEastAsia" w:hAnsiTheme="minorEastAsia" w:eastAsiaTheme="minorEastAsia"/>
        </w:rPr>
        <w:t>融合医学核心概念以及医学临床证据，构建医疗知识图谱平台，基于知识图谱建立数据标准，完成数据自动落标，实现高正确率的数据资产标准化。</w:t>
      </w:r>
    </w:p>
    <w:p>
      <w:pPr>
        <w:pStyle w:val="19"/>
        <w:numPr>
          <w:ilvl w:val="0"/>
          <w:numId w:val="6"/>
        </w:numPr>
        <w:spacing w:line="360" w:lineRule="auto"/>
        <w:ind w:firstLineChars="0"/>
        <w:rPr>
          <w:rFonts w:asciiTheme="minorEastAsia" w:hAnsiTheme="minorEastAsia" w:eastAsiaTheme="minorEastAsia"/>
        </w:rPr>
      </w:pPr>
      <w:r>
        <w:rPr>
          <w:rFonts w:hint="eastAsia" w:asciiTheme="minorEastAsia" w:hAnsiTheme="minorEastAsia" w:eastAsiaTheme="minorEastAsia"/>
        </w:rPr>
        <w:t>建立数据标准</w:t>
      </w:r>
    </w:p>
    <w:p>
      <w:pPr>
        <w:pStyle w:val="19"/>
        <w:numPr>
          <w:ilvl w:val="1"/>
          <w:numId w:val="6"/>
        </w:numPr>
        <w:spacing w:line="360" w:lineRule="auto"/>
        <w:ind w:firstLineChars="0"/>
        <w:rPr>
          <w:rFonts w:asciiTheme="minorEastAsia" w:hAnsiTheme="minorEastAsia" w:eastAsiaTheme="minorEastAsia"/>
        </w:rPr>
      </w:pPr>
      <w:r>
        <w:rPr>
          <w:rFonts w:hint="eastAsia" w:asciiTheme="minorEastAsia" w:hAnsiTheme="minorEastAsia" w:eastAsiaTheme="minorEastAsia"/>
        </w:rPr>
        <w:t>元数据标准，根据各业务场景的不同特点，可以对数据湖内各模态、各层级的元数据进行管理维护。</w:t>
      </w:r>
    </w:p>
    <w:p>
      <w:pPr>
        <w:pStyle w:val="19"/>
        <w:numPr>
          <w:ilvl w:val="1"/>
          <w:numId w:val="6"/>
        </w:numPr>
        <w:spacing w:line="360" w:lineRule="auto"/>
        <w:ind w:firstLineChars="0"/>
        <w:rPr>
          <w:rFonts w:asciiTheme="minorEastAsia" w:hAnsiTheme="minorEastAsia" w:eastAsiaTheme="minorEastAsia"/>
        </w:rPr>
      </w:pPr>
      <w:r>
        <w:rPr>
          <w:rFonts w:hint="eastAsia" w:asciiTheme="minorEastAsia" w:hAnsiTheme="minorEastAsia" w:eastAsiaTheme="minorEastAsia"/>
        </w:rPr>
        <w:t>数据分类标准，通过知识图谱等技术可以自动生成、更新医疗数据分类标准。</w:t>
      </w:r>
    </w:p>
    <w:p>
      <w:pPr>
        <w:pStyle w:val="19"/>
        <w:numPr>
          <w:ilvl w:val="1"/>
          <w:numId w:val="6"/>
        </w:numPr>
        <w:spacing w:line="360" w:lineRule="auto"/>
        <w:ind w:firstLineChars="0"/>
        <w:rPr>
          <w:rFonts w:asciiTheme="minorEastAsia" w:hAnsiTheme="minorEastAsia" w:eastAsiaTheme="minorEastAsia"/>
        </w:rPr>
      </w:pPr>
      <w:r>
        <w:rPr>
          <w:rFonts w:hint="eastAsia" w:asciiTheme="minorEastAsia" w:hAnsiTheme="minorEastAsia" w:eastAsiaTheme="minorEastAsia"/>
        </w:rPr>
        <w:t>术语标准化，基于S</w:t>
      </w:r>
      <w:r>
        <w:rPr>
          <w:rFonts w:asciiTheme="minorEastAsia" w:hAnsiTheme="minorEastAsia" w:eastAsiaTheme="minorEastAsia"/>
        </w:rPr>
        <w:t>NOMED-CT</w:t>
      </w:r>
      <w:r>
        <w:rPr>
          <w:rFonts w:hint="eastAsia" w:asciiTheme="minorEastAsia" w:hAnsiTheme="minorEastAsia" w:eastAsiaTheme="minorEastAsia"/>
        </w:rPr>
        <w:t>术语体系，针对疾病、药品、器械、症状等医学领域常用术语，进行自动识别规整。</w:t>
      </w:r>
    </w:p>
    <w:p>
      <w:pPr>
        <w:pStyle w:val="19"/>
        <w:numPr>
          <w:ilvl w:val="1"/>
          <w:numId w:val="6"/>
        </w:numPr>
        <w:spacing w:line="360" w:lineRule="auto"/>
        <w:ind w:firstLineChars="0"/>
        <w:rPr>
          <w:rFonts w:asciiTheme="minorEastAsia" w:hAnsiTheme="minorEastAsia" w:eastAsiaTheme="minorEastAsia"/>
        </w:rPr>
      </w:pPr>
      <w:r>
        <w:rPr>
          <w:rFonts w:hint="eastAsia" w:asciiTheme="minorEastAsia" w:hAnsiTheme="minorEastAsia" w:eastAsiaTheme="minorEastAsia"/>
        </w:rPr>
        <w:t>编码/单位标准，对医学领域常用检查、诊断指标等数值数据，进行自动识别规整。</w:t>
      </w:r>
    </w:p>
    <w:p>
      <w:pPr>
        <w:pStyle w:val="19"/>
        <w:numPr>
          <w:ilvl w:val="1"/>
          <w:numId w:val="6"/>
        </w:numPr>
        <w:spacing w:line="360" w:lineRule="auto"/>
        <w:ind w:firstLineChars="0"/>
        <w:rPr>
          <w:rFonts w:asciiTheme="minorEastAsia" w:hAnsiTheme="minorEastAsia" w:eastAsiaTheme="minorEastAsia"/>
        </w:rPr>
      </w:pPr>
      <w:r>
        <w:rPr>
          <w:rFonts w:hint="eastAsia" w:asciiTheme="minorEastAsia" w:hAnsiTheme="minorEastAsia" w:eastAsiaTheme="minorEastAsia"/>
        </w:rPr>
        <w:t>自定义规则模板，根据特定业务需要，可通过专家配置的方式对指定领域的数据配置标准规则模板。</w:t>
      </w:r>
    </w:p>
    <w:p>
      <w:pPr>
        <w:pStyle w:val="19"/>
        <w:numPr>
          <w:ilvl w:val="0"/>
          <w:numId w:val="6"/>
        </w:numPr>
        <w:spacing w:line="360" w:lineRule="auto"/>
        <w:ind w:firstLineChars="0"/>
        <w:rPr>
          <w:rFonts w:asciiTheme="minorEastAsia" w:hAnsiTheme="minorEastAsia" w:eastAsiaTheme="minorEastAsia"/>
        </w:rPr>
      </w:pPr>
      <w:r>
        <w:rPr>
          <w:rFonts w:hint="eastAsia" w:asciiTheme="minorEastAsia" w:hAnsiTheme="minorEastAsia" w:eastAsiaTheme="minorEastAsia"/>
        </w:rPr>
        <w:t>数据自动落标</w:t>
      </w:r>
    </w:p>
    <w:p>
      <w:pPr>
        <w:pStyle w:val="19"/>
        <w:spacing w:line="360" w:lineRule="auto"/>
        <w:ind w:left="1683" w:firstLine="417" w:firstLineChars="0"/>
        <w:rPr>
          <w:rFonts w:asciiTheme="minorEastAsia" w:hAnsiTheme="minorEastAsia" w:eastAsiaTheme="minorEastAsia"/>
        </w:rPr>
      </w:pPr>
      <w:r>
        <w:rPr>
          <w:rFonts w:hint="eastAsia" w:asciiTheme="minorEastAsia" w:hAnsiTheme="minorEastAsia" w:eastAsiaTheme="minorEastAsia"/>
        </w:rPr>
        <w:t>根据平台的各种数据标准，将所有入湖数据进行自动落标操作，提高数据价值密度。</w:t>
      </w:r>
    </w:p>
    <w:p>
      <w:pPr>
        <w:pStyle w:val="19"/>
        <w:numPr>
          <w:ilvl w:val="0"/>
          <w:numId w:val="4"/>
        </w:numPr>
        <w:spacing w:line="360" w:lineRule="auto"/>
        <w:ind w:firstLineChars="0"/>
        <w:rPr>
          <w:rFonts w:asciiTheme="minorEastAsia" w:hAnsiTheme="minorEastAsia" w:eastAsiaTheme="minorEastAsia"/>
        </w:rPr>
      </w:pPr>
      <w:r>
        <w:rPr>
          <w:rFonts w:hint="eastAsia" w:asciiTheme="minorEastAsia" w:hAnsiTheme="minorEastAsia" w:eastAsiaTheme="minorEastAsia"/>
        </w:rPr>
        <w:t>数据结构化处理</w:t>
      </w:r>
    </w:p>
    <w:p>
      <w:pPr>
        <w:pStyle w:val="19"/>
        <w:spacing w:line="360" w:lineRule="auto"/>
        <w:rPr>
          <w:rFonts w:asciiTheme="minorEastAsia" w:hAnsiTheme="minorEastAsia" w:eastAsiaTheme="minorEastAsia"/>
        </w:rPr>
      </w:pPr>
      <w:r>
        <w:rPr>
          <w:rFonts w:hint="eastAsia" w:asciiTheme="minorEastAsia" w:hAnsiTheme="minorEastAsia" w:eastAsiaTheme="minorEastAsia"/>
        </w:rPr>
        <w:t>基于自然语言理解（NLP）等技术，将非结构化或半结构化数据结构化，生成且具有高准确度的医学实体诊疗数据描述标准。</w:t>
      </w:r>
    </w:p>
    <w:tbl>
      <w:tblPr>
        <w:tblStyle w:val="13"/>
        <w:tblW w:w="432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35"/>
        <w:gridCol w:w="6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768" w:type="pct"/>
            <w:shd w:val="clear" w:color="auto" w:fill="B8CCE4" w:themeFill="accent1" w:themeFillTint="66"/>
          </w:tcPr>
          <w:p>
            <w:pPr>
              <w:spacing w:line="360" w:lineRule="auto"/>
              <w:jc w:val="center"/>
              <w:rPr>
                <w:rFonts w:asciiTheme="minorEastAsia" w:hAnsiTheme="minorEastAsia" w:eastAsiaTheme="minorEastAsia"/>
              </w:rPr>
            </w:pPr>
            <w:r>
              <w:rPr>
                <w:rFonts w:hint="eastAsia" w:asciiTheme="minorEastAsia" w:hAnsiTheme="minorEastAsia" w:eastAsiaTheme="minorEastAsia"/>
              </w:rPr>
              <w:t>医学实体</w:t>
            </w:r>
          </w:p>
        </w:tc>
        <w:tc>
          <w:tcPr>
            <w:tcW w:w="4231" w:type="pct"/>
            <w:shd w:val="clear" w:color="auto" w:fill="B8CCE4" w:themeFill="accent1" w:themeFillTint="66"/>
          </w:tcPr>
          <w:p>
            <w:pPr>
              <w:spacing w:line="360" w:lineRule="auto"/>
              <w:jc w:val="center"/>
              <w:rPr>
                <w:rFonts w:asciiTheme="minorEastAsia" w:hAnsiTheme="minorEastAsia" w:eastAsiaTheme="minorEastAsia"/>
              </w:rPr>
            </w:pPr>
            <w:r>
              <w:rPr>
                <w:rFonts w:hint="eastAsia" w:asciiTheme="minorEastAsia" w:hAnsiTheme="minorEastAsia" w:eastAsiaTheme="minorEastAsia"/>
              </w:rPr>
              <w:t>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768" w:type="pct"/>
          </w:tcPr>
          <w:p>
            <w:pPr>
              <w:spacing w:line="360" w:lineRule="auto"/>
              <w:jc w:val="center"/>
              <w:rPr>
                <w:rFonts w:asciiTheme="minorEastAsia" w:hAnsiTheme="minorEastAsia" w:eastAsiaTheme="minorEastAsia"/>
              </w:rPr>
            </w:pPr>
            <w:r>
              <w:rPr>
                <w:rFonts w:hint="eastAsia" w:asciiTheme="minorEastAsia" w:hAnsiTheme="minorEastAsia" w:eastAsiaTheme="minorEastAsia"/>
              </w:rPr>
              <w:t>症状</w:t>
            </w:r>
          </w:p>
        </w:tc>
        <w:tc>
          <w:tcPr>
            <w:tcW w:w="4231" w:type="pct"/>
          </w:tcPr>
          <w:p>
            <w:pPr>
              <w:spacing w:line="360" w:lineRule="auto"/>
              <w:rPr>
                <w:rFonts w:asciiTheme="minorEastAsia" w:hAnsiTheme="minorEastAsia" w:eastAsiaTheme="minorEastAsia"/>
              </w:rPr>
            </w:pPr>
            <w:r>
              <w:rPr>
                <w:rFonts w:hint="eastAsia" w:asciiTheme="minorEastAsia" w:hAnsiTheme="minorEastAsia" w:eastAsiaTheme="minorEastAsia"/>
              </w:rPr>
              <w:t>部位、性质、程度、起病时间、持续时间、频率等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768" w:type="pct"/>
          </w:tcPr>
          <w:p>
            <w:pPr>
              <w:spacing w:line="360" w:lineRule="auto"/>
              <w:jc w:val="center"/>
              <w:rPr>
                <w:rFonts w:asciiTheme="minorEastAsia" w:hAnsiTheme="minorEastAsia" w:eastAsiaTheme="minorEastAsia"/>
              </w:rPr>
            </w:pPr>
            <w:r>
              <w:rPr>
                <w:rFonts w:hint="eastAsia" w:asciiTheme="minorEastAsia" w:hAnsiTheme="minorEastAsia" w:eastAsiaTheme="minorEastAsia"/>
              </w:rPr>
              <w:t>检验</w:t>
            </w:r>
          </w:p>
        </w:tc>
        <w:tc>
          <w:tcPr>
            <w:tcW w:w="4231" w:type="pct"/>
          </w:tcPr>
          <w:p>
            <w:pPr>
              <w:spacing w:line="360" w:lineRule="auto"/>
              <w:rPr>
                <w:rFonts w:asciiTheme="minorEastAsia" w:hAnsiTheme="minorEastAsia" w:eastAsiaTheme="minorEastAsia"/>
              </w:rPr>
            </w:pPr>
            <w:r>
              <w:rPr>
                <w:rFonts w:hint="eastAsia" w:asciiTheme="minorEastAsia" w:hAnsiTheme="minorEastAsia" w:eastAsiaTheme="minorEastAsia"/>
              </w:rPr>
              <w:t>检验分类、检验项目、结果值、单位、正常范围、异常标记等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atLeast"/>
          <w:jc w:val="center"/>
        </w:trPr>
        <w:tc>
          <w:tcPr>
            <w:tcW w:w="768" w:type="pct"/>
          </w:tcPr>
          <w:p>
            <w:pPr>
              <w:spacing w:line="360" w:lineRule="auto"/>
              <w:jc w:val="center"/>
              <w:rPr>
                <w:rFonts w:asciiTheme="minorEastAsia" w:hAnsiTheme="minorEastAsia" w:eastAsiaTheme="minorEastAsia"/>
              </w:rPr>
            </w:pPr>
            <w:r>
              <w:rPr>
                <w:rFonts w:hint="eastAsia" w:asciiTheme="minorEastAsia" w:hAnsiTheme="minorEastAsia" w:eastAsiaTheme="minorEastAsia"/>
              </w:rPr>
              <w:t>检查</w:t>
            </w:r>
          </w:p>
        </w:tc>
        <w:tc>
          <w:tcPr>
            <w:tcW w:w="4231" w:type="pct"/>
          </w:tcPr>
          <w:p>
            <w:pPr>
              <w:spacing w:line="360" w:lineRule="auto"/>
              <w:rPr>
                <w:rFonts w:asciiTheme="minorEastAsia" w:hAnsiTheme="minorEastAsia" w:eastAsiaTheme="minorEastAsia"/>
              </w:rPr>
            </w:pPr>
            <w:r>
              <w:rPr>
                <w:rFonts w:hint="eastAsia" w:asciiTheme="minorEastAsia" w:hAnsiTheme="minorEastAsia" w:eastAsiaTheme="minorEastAsia"/>
              </w:rPr>
              <w:t>检查分类、检查项目、部位、大小、形状、性质、数量、病灶、颜色、病理分型等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atLeast"/>
          <w:jc w:val="center"/>
        </w:trPr>
        <w:tc>
          <w:tcPr>
            <w:tcW w:w="768" w:type="pct"/>
          </w:tcPr>
          <w:p>
            <w:pPr>
              <w:spacing w:line="360" w:lineRule="auto"/>
              <w:jc w:val="center"/>
              <w:rPr>
                <w:rFonts w:asciiTheme="minorEastAsia" w:hAnsiTheme="minorEastAsia" w:eastAsiaTheme="minorEastAsia"/>
              </w:rPr>
            </w:pPr>
            <w:r>
              <w:rPr>
                <w:rFonts w:hint="eastAsia" w:asciiTheme="minorEastAsia" w:hAnsiTheme="minorEastAsia" w:eastAsiaTheme="minorEastAsia"/>
              </w:rPr>
              <w:t>疾病</w:t>
            </w:r>
          </w:p>
        </w:tc>
        <w:tc>
          <w:tcPr>
            <w:tcW w:w="4231" w:type="pct"/>
          </w:tcPr>
          <w:p>
            <w:pPr>
              <w:spacing w:line="360" w:lineRule="auto"/>
              <w:rPr>
                <w:rFonts w:hint="eastAsia" w:asciiTheme="minorEastAsia" w:hAnsiTheme="minorEastAsia" w:eastAsiaTheme="minorEastAsia"/>
                <w:lang w:val="en-US" w:eastAsia="zh-CN"/>
              </w:rPr>
            </w:pPr>
            <w:r>
              <w:rPr>
                <w:rFonts w:hint="eastAsia" w:asciiTheme="minorEastAsia" w:hAnsiTheme="minorEastAsia" w:eastAsiaTheme="minorEastAsia"/>
              </w:rPr>
              <w:t>名称、部位、特征、程度、是否既往、病程、分级、病理分型、转移部位、有效药、耐受药</w:t>
            </w:r>
            <w:r>
              <w:rPr>
                <w:rFonts w:hint="eastAsia" w:asciiTheme="minorEastAsia" w:hAnsiTheme="minorEastAsia" w:eastAsiaTheme="minorEastAsia"/>
                <w:lang w:eastAsia="zh-CN"/>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768" w:type="pct"/>
          </w:tcPr>
          <w:p>
            <w:pPr>
              <w:spacing w:line="360" w:lineRule="auto"/>
              <w:jc w:val="center"/>
              <w:rPr>
                <w:rFonts w:asciiTheme="minorEastAsia" w:hAnsiTheme="minorEastAsia" w:eastAsiaTheme="minorEastAsia"/>
              </w:rPr>
            </w:pPr>
            <w:r>
              <w:rPr>
                <w:rFonts w:hint="eastAsia" w:asciiTheme="minorEastAsia" w:hAnsiTheme="minorEastAsia" w:eastAsiaTheme="minorEastAsia"/>
              </w:rPr>
              <w:t>药物</w:t>
            </w:r>
          </w:p>
        </w:tc>
        <w:tc>
          <w:tcPr>
            <w:tcW w:w="4231" w:type="pct"/>
          </w:tcPr>
          <w:p>
            <w:pPr>
              <w:spacing w:line="360" w:lineRule="auto"/>
              <w:rPr>
                <w:rFonts w:hint="eastAsia" w:asciiTheme="minorEastAsia" w:hAnsiTheme="minorEastAsia" w:eastAsiaTheme="minorEastAsia"/>
                <w:lang w:eastAsia="zh-CN"/>
              </w:rPr>
            </w:pPr>
            <w:r>
              <w:rPr>
                <w:rFonts w:hint="eastAsia" w:asciiTheme="minorEastAsia" w:hAnsiTheme="minorEastAsia" w:eastAsiaTheme="minorEastAsia"/>
              </w:rPr>
              <w:t>给药方式、用药频率、单次剂量、总剂量、药物分类、治疗原因</w:t>
            </w:r>
            <w:r>
              <w:rPr>
                <w:rFonts w:hint="eastAsia" w:asciiTheme="minorEastAsia" w:hAnsiTheme="minorEastAsia" w:eastAsiaTheme="minorEastAsia"/>
                <w:lang w:eastAsia="zh-CN"/>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768" w:type="pct"/>
          </w:tcPr>
          <w:p>
            <w:pPr>
              <w:spacing w:line="360" w:lineRule="auto"/>
              <w:jc w:val="center"/>
              <w:rPr>
                <w:rFonts w:asciiTheme="minorEastAsia" w:hAnsiTheme="minorEastAsia" w:eastAsiaTheme="minorEastAsia"/>
              </w:rPr>
            </w:pPr>
            <w:r>
              <w:rPr>
                <w:rFonts w:hint="eastAsia" w:asciiTheme="minorEastAsia" w:hAnsiTheme="minorEastAsia" w:eastAsiaTheme="minorEastAsia"/>
              </w:rPr>
              <w:t>手术</w:t>
            </w:r>
          </w:p>
        </w:tc>
        <w:tc>
          <w:tcPr>
            <w:tcW w:w="4231" w:type="pct"/>
          </w:tcPr>
          <w:p>
            <w:pPr>
              <w:spacing w:line="360" w:lineRule="auto"/>
              <w:rPr>
                <w:rFonts w:hint="eastAsia" w:asciiTheme="minorEastAsia" w:hAnsiTheme="minorEastAsia" w:eastAsiaTheme="minorEastAsia"/>
                <w:lang w:eastAsia="zh-CN"/>
              </w:rPr>
            </w:pPr>
            <w:r>
              <w:rPr>
                <w:rFonts w:hint="eastAsia" w:asciiTheme="minorEastAsia" w:hAnsiTheme="minorEastAsia" w:eastAsiaTheme="minorEastAsia"/>
              </w:rPr>
              <w:t>部位、手术时间、手术类型、手术设备、疾病、麻醉方法、是否既往</w:t>
            </w:r>
            <w:r>
              <w:rPr>
                <w:rFonts w:hint="eastAsia" w:asciiTheme="minorEastAsia" w:hAnsiTheme="minorEastAsia" w:eastAsiaTheme="minorEastAsia"/>
                <w:lang w:eastAsia="zh-CN"/>
              </w:rPr>
              <w:t>等</w:t>
            </w:r>
          </w:p>
        </w:tc>
      </w:tr>
    </w:tbl>
    <w:p>
      <w:pPr>
        <w:pStyle w:val="19"/>
        <w:numPr>
          <w:ilvl w:val="0"/>
          <w:numId w:val="4"/>
        </w:numPr>
        <w:spacing w:line="360" w:lineRule="auto"/>
        <w:ind w:firstLineChars="0"/>
        <w:rPr>
          <w:rFonts w:asciiTheme="minorEastAsia" w:hAnsiTheme="minorEastAsia" w:eastAsiaTheme="minorEastAsia"/>
        </w:rPr>
      </w:pPr>
      <w:r>
        <w:rPr>
          <w:rFonts w:hint="eastAsia" w:asciiTheme="minorEastAsia" w:hAnsiTheme="minorEastAsia" w:eastAsiaTheme="minorEastAsia"/>
        </w:rPr>
        <w:t>数据时序处理</w:t>
      </w:r>
    </w:p>
    <w:p>
      <w:pPr>
        <w:pStyle w:val="19"/>
        <w:spacing w:line="360" w:lineRule="auto"/>
        <w:ind w:left="1260" w:firstLineChars="0"/>
        <w:rPr>
          <w:rFonts w:asciiTheme="minorEastAsia" w:hAnsiTheme="minorEastAsia" w:eastAsiaTheme="minorEastAsia"/>
        </w:rPr>
      </w:pPr>
      <w:r>
        <w:rPr>
          <w:rFonts w:hint="eastAsia" w:asciiTheme="minorEastAsia" w:hAnsiTheme="minorEastAsia" w:eastAsiaTheme="minorEastAsia"/>
        </w:rPr>
        <w:t>基于医学各场景流程的事件识别，将入湖数据按时间序列汇总，提高数据可读性及可追溯性。</w:t>
      </w:r>
    </w:p>
    <w:p>
      <w:pPr>
        <w:pStyle w:val="19"/>
        <w:numPr>
          <w:ilvl w:val="0"/>
          <w:numId w:val="7"/>
        </w:numPr>
        <w:spacing w:line="360" w:lineRule="auto"/>
        <w:ind w:firstLineChars="0"/>
        <w:rPr>
          <w:rFonts w:asciiTheme="minorEastAsia" w:hAnsiTheme="minorEastAsia" w:eastAsiaTheme="minorEastAsia"/>
        </w:rPr>
      </w:pPr>
      <w:r>
        <w:rPr>
          <w:rFonts w:hint="eastAsia" w:asciiTheme="minorEastAsia" w:hAnsiTheme="minorEastAsia" w:eastAsiaTheme="minorEastAsia"/>
        </w:rPr>
        <w:t>患者诊疗流程：基于临床结局的轨迹，将患者院内外的数据打通，还原患者的检查、治疗、用药、随访等一系列轨迹。</w:t>
      </w:r>
    </w:p>
    <w:p>
      <w:pPr>
        <w:pStyle w:val="19"/>
        <w:numPr>
          <w:ilvl w:val="0"/>
          <w:numId w:val="7"/>
        </w:numPr>
        <w:spacing w:line="360" w:lineRule="auto"/>
        <w:ind w:firstLineChars="0"/>
        <w:rPr>
          <w:rFonts w:asciiTheme="minorEastAsia" w:hAnsiTheme="minorEastAsia" w:eastAsiaTheme="minorEastAsia"/>
        </w:rPr>
      </w:pPr>
      <w:r>
        <w:rPr>
          <w:rFonts w:hint="eastAsia" w:asciiTheme="minorEastAsia" w:hAnsiTheme="minorEastAsia" w:eastAsiaTheme="minorEastAsia"/>
        </w:rPr>
        <w:t>医院运营管理流程：按时间发展顺序整合医院诊疗、运营等各项数据。</w:t>
      </w:r>
    </w:p>
    <w:p>
      <w:pPr>
        <w:pStyle w:val="5"/>
        <w:spacing w:line="360" w:lineRule="auto"/>
        <w:rPr>
          <w:rFonts w:asciiTheme="minorEastAsia" w:hAnsiTheme="minorEastAsia" w:eastAsiaTheme="minorEastAsia"/>
        </w:rPr>
      </w:pPr>
      <w:r>
        <w:rPr>
          <w:rFonts w:hint="eastAsia" w:asciiTheme="minorEastAsia" w:hAnsiTheme="minorEastAsia" w:eastAsiaTheme="minorEastAsia"/>
        </w:rPr>
        <w:t>1.3数据湖资产平台</w:t>
      </w:r>
    </w:p>
    <w:p>
      <w:pPr>
        <w:spacing w:line="360" w:lineRule="auto"/>
        <w:ind w:left="420" w:firstLine="420"/>
        <w:rPr>
          <w:rFonts w:asciiTheme="minorEastAsia" w:hAnsiTheme="minorEastAsia" w:eastAsiaTheme="minorEastAsia"/>
        </w:rPr>
      </w:pPr>
      <w:r>
        <w:rPr>
          <w:rFonts w:hint="eastAsia" w:asciiTheme="minorEastAsia" w:hAnsiTheme="minorEastAsia" w:eastAsiaTheme="minorEastAsia"/>
        </w:rPr>
        <w:t>通过对数据进行持续和动态的全生命周期管理，完成数据资产化，助力医院全面掌握数据资产现状、优化数据使用、保障数据安全合规，为临床、科研、运营三大场景提供源源不断的数字化动力。主要的功能要求包括：</w:t>
      </w:r>
    </w:p>
    <w:p>
      <w:pPr>
        <w:pStyle w:val="19"/>
        <w:numPr>
          <w:ilvl w:val="0"/>
          <w:numId w:val="8"/>
        </w:numPr>
        <w:spacing w:line="360" w:lineRule="auto"/>
        <w:ind w:firstLineChars="0"/>
        <w:rPr>
          <w:rFonts w:asciiTheme="minorEastAsia" w:hAnsiTheme="minorEastAsia" w:eastAsiaTheme="minorEastAsia"/>
        </w:rPr>
      </w:pPr>
      <w:r>
        <w:rPr>
          <w:rFonts w:hint="eastAsia" w:asciiTheme="minorEastAsia" w:hAnsiTheme="minorEastAsia" w:eastAsiaTheme="minorEastAsia"/>
        </w:rPr>
        <w:t>数据资产编目管理</w:t>
      </w:r>
    </w:p>
    <w:p>
      <w:pPr>
        <w:spacing w:line="360" w:lineRule="auto"/>
        <w:ind w:left="1260" w:firstLine="420"/>
        <w:rPr>
          <w:rFonts w:asciiTheme="minorEastAsia" w:hAnsiTheme="minorEastAsia" w:eastAsiaTheme="minorEastAsia"/>
        </w:rPr>
      </w:pPr>
      <w:r>
        <w:rPr>
          <w:rFonts w:hint="eastAsia" w:asciiTheme="minorEastAsia" w:hAnsiTheme="minorEastAsia" w:eastAsiaTheme="minorEastAsia"/>
        </w:rPr>
        <w:t>将完成治理的各类数据进行盘点分类，完成资产编目操作，供各业务方查看使用。</w:t>
      </w:r>
    </w:p>
    <w:p>
      <w:pPr>
        <w:pStyle w:val="19"/>
        <w:numPr>
          <w:ilvl w:val="1"/>
          <w:numId w:val="8"/>
        </w:numPr>
        <w:spacing w:line="360" w:lineRule="auto"/>
        <w:ind w:firstLineChars="0"/>
        <w:rPr>
          <w:rFonts w:asciiTheme="minorEastAsia" w:hAnsiTheme="minorEastAsia" w:eastAsiaTheme="minorEastAsia"/>
        </w:rPr>
      </w:pPr>
      <w:r>
        <w:rPr>
          <w:rFonts w:hint="eastAsia" w:asciiTheme="minorEastAsia" w:hAnsiTheme="minorEastAsia" w:eastAsiaTheme="minorEastAsia"/>
        </w:rPr>
        <w:t>资产确权：可以根据各数据的采集-治理-加工链路信息，自动匹配数据属主，也可以支持配置规则模板、批量导入等方式手工对批量数据资产进行属主确权。</w:t>
      </w:r>
    </w:p>
    <w:p>
      <w:pPr>
        <w:pStyle w:val="19"/>
        <w:numPr>
          <w:ilvl w:val="1"/>
          <w:numId w:val="8"/>
        </w:numPr>
        <w:spacing w:line="360" w:lineRule="auto"/>
        <w:ind w:firstLineChars="0"/>
        <w:rPr>
          <w:rFonts w:asciiTheme="minorEastAsia" w:hAnsiTheme="minorEastAsia" w:eastAsiaTheme="minorEastAsia"/>
        </w:rPr>
      </w:pPr>
      <w:r>
        <w:rPr>
          <w:rFonts w:hint="eastAsia" w:asciiTheme="minorEastAsia" w:hAnsiTheme="minorEastAsia" w:eastAsiaTheme="minorEastAsia"/>
        </w:rPr>
        <w:t>资产目录管理：可以灵活配置数据资产目录，如按照业务场景、所属业务、主题域等多种方式。</w:t>
      </w:r>
    </w:p>
    <w:p>
      <w:pPr>
        <w:pStyle w:val="19"/>
        <w:numPr>
          <w:ilvl w:val="0"/>
          <w:numId w:val="8"/>
        </w:numPr>
        <w:spacing w:line="360" w:lineRule="auto"/>
        <w:ind w:firstLineChars="0"/>
        <w:rPr>
          <w:rFonts w:asciiTheme="minorEastAsia" w:hAnsiTheme="minorEastAsia" w:eastAsiaTheme="minorEastAsia"/>
        </w:rPr>
      </w:pPr>
      <w:r>
        <w:rPr>
          <w:rFonts w:hint="eastAsia" w:asciiTheme="minorEastAsia" w:hAnsiTheme="minorEastAsia" w:eastAsiaTheme="minorEastAsia"/>
        </w:rPr>
        <w:t>数据资产使用管理</w:t>
      </w:r>
    </w:p>
    <w:p>
      <w:pPr>
        <w:pStyle w:val="19"/>
        <w:numPr>
          <w:ilvl w:val="0"/>
          <w:numId w:val="9"/>
        </w:numPr>
        <w:spacing w:line="360" w:lineRule="auto"/>
        <w:ind w:firstLineChars="0"/>
        <w:rPr>
          <w:rFonts w:asciiTheme="minorEastAsia" w:hAnsiTheme="minorEastAsia" w:eastAsiaTheme="minorEastAsia"/>
        </w:rPr>
      </w:pPr>
      <w:r>
        <w:rPr>
          <w:rFonts w:hint="eastAsia" w:asciiTheme="minorEastAsia" w:hAnsiTheme="minorEastAsia" w:eastAsiaTheme="minorEastAsia"/>
        </w:rPr>
        <w:t>生命周期管理：数据资产属主可以对湖内的数据资产进行上下架操作，供各业务方进行申请使用。</w:t>
      </w:r>
    </w:p>
    <w:p>
      <w:pPr>
        <w:pStyle w:val="19"/>
        <w:numPr>
          <w:ilvl w:val="0"/>
          <w:numId w:val="9"/>
        </w:numPr>
        <w:spacing w:line="360" w:lineRule="auto"/>
        <w:ind w:firstLineChars="0"/>
        <w:rPr>
          <w:rFonts w:asciiTheme="minorEastAsia" w:hAnsiTheme="minorEastAsia" w:eastAsiaTheme="minorEastAsia"/>
        </w:rPr>
      </w:pPr>
      <w:r>
        <w:rPr>
          <w:rFonts w:hint="eastAsia" w:asciiTheme="minorEastAsia" w:hAnsiTheme="minorEastAsia" w:eastAsiaTheme="minorEastAsia"/>
        </w:rPr>
        <w:t>数据使用管理：提供数据申请-审核流程，数据使用方发起数据资产使用申请，数据属主审批后方可授权。</w:t>
      </w:r>
    </w:p>
    <w:p>
      <w:pPr>
        <w:pStyle w:val="19"/>
        <w:numPr>
          <w:ilvl w:val="0"/>
          <w:numId w:val="8"/>
        </w:numPr>
        <w:spacing w:line="360" w:lineRule="auto"/>
        <w:ind w:firstLineChars="0"/>
        <w:rPr>
          <w:rFonts w:asciiTheme="minorEastAsia" w:hAnsiTheme="minorEastAsia" w:eastAsiaTheme="minorEastAsia"/>
        </w:rPr>
      </w:pPr>
      <w:r>
        <w:rPr>
          <w:rFonts w:hint="eastAsia" w:asciiTheme="minorEastAsia" w:hAnsiTheme="minorEastAsia" w:eastAsiaTheme="minorEastAsia"/>
        </w:rPr>
        <w:t>数据资产共享管理</w:t>
      </w:r>
    </w:p>
    <w:p>
      <w:pPr>
        <w:pStyle w:val="19"/>
        <w:numPr>
          <w:ilvl w:val="0"/>
          <w:numId w:val="10"/>
        </w:numPr>
        <w:spacing w:line="360" w:lineRule="auto"/>
        <w:ind w:firstLineChars="0"/>
        <w:rPr>
          <w:rFonts w:asciiTheme="minorEastAsia" w:hAnsiTheme="minorEastAsia" w:eastAsiaTheme="minorEastAsia"/>
        </w:rPr>
      </w:pPr>
      <w:r>
        <w:rPr>
          <w:rFonts w:hint="eastAsia" w:asciiTheme="minorEastAsia" w:hAnsiTheme="minorEastAsia" w:eastAsiaTheme="minorEastAsia"/>
        </w:rPr>
        <w:t>共享权限管理：配置管理外部共享机构白名单，只有合作认证的机构才允许与本院进行数据资产共享。</w:t>
      </w:r>
    </w:p>
    <w:p>
      <w:pPr>
        <w:pStyle w:val="19"/>
        <w:numPr>
          <w:ilvl w:val="0"/>
          <w:numId w:val="10"/>
        </w:numPr>
        <w:spacing w:line="360" w:lineRule="auto"/>
        <w:ind w:firstLineChars="0"/>
        <w:rPr>
          <w:rFonts w:asciiTheme="minorEastAsia" w:hAnsiTheme="minorEastAsia" w:eastAsiaTheme="minorEastAsia"/>
        </w:rPr>
      </w:pPr>
      <w:r>
        <w:rPr>
          <w:rFonts w:hint="eastAsia" w:asciiTheme="minorEastAsia" w:hAnsiTheme="minorEastAsia" w:eastAsiaTheme="minorEastAsia"/>
        </w:rPr>
        <w:t>共享碰撞管理：支持在隐私计算环境中对内外部数据资产进行共享碰撞，预分析共享碰撞的效果，支持后续流程。</w:t>
      </w:r>
    </w:p>
    <w:p>
      <w:pPr>
        <w:pStyle w:val="19"/>
        <w:numPr>
          <w:ilvl w:val="0"/>
          <w:numId w:val="10"/>
        </w:numPr>
        <w:spacing w:line="360" w:lineRule="auto"/>
        <w:ind w:firstLineChars="0"/>
        <w:rPr>
          <w:rFonts w:asciiTheme="minorEastAsia" w:hAnsiTheme="minorEastAsia" w:eastAsiaTheme="minorEastAsia"/>
        </w:rPr>
      </w:pPr>
      <w:r>
        <w:rPr>
          <w:rFonts w:hint="eastAsia" w:asciiTheme="minorEastAsia" w:hAnsiTheme="minorEastAsia" w:eastAsiaTheme="minorEastAsia"/>
        </w:rPr>
        <w:t>共享配送管理：提供以不可追溯的模型结果输出方式对数据资产进行共享，保障明细数据不泄露，再通过算法保证结果加密。</w:t>
      </w:r>
    </w:p>
    <w:p>
      <w:pPr>
        <w:pStyle w:val="5"/>
        <w:spacing w:line="360" w:lineRule="auto"/>
        <w:rPr>
          <w:rFonts w:asciiTheme="minorEastAsia" w:hAnsiTheme="minorEastAsia" w:eastAsiaTheme="minorEastAsia"/>
        </w:rPr>
      </w:pPr>
      <w:r>
        <w:rPr>
          <w:rFonts w:hint="eastAsia" w:asciiTheme="minorEastAsia" w:hAnsiTheme="minorEastAsia" w:eastAsiaTheme="minorEastAsia"/>
        </w:rPr>
        <w:t>1</w:t>
      </w:r>
      <w:r>
        <w:rPr>
          <w:rFonts w:asciiTheme="minorEastAsia" w:hAnsiTheme="minorEastAsia" w:eastAsiaTheme="minorEastAsia"/>
        </w:rPr>
        <w:t>.4</w:t>
      </w:r>
      <w:r>
        <w:rPr>
          <w:rFonts w:hint="eastAsia" w:asciiTheme="minorEastAsia" w:hAnsiTheme="minorEastAsia" w:eastAsiaTheme="minorEastAsia"/>
        </w:rPr>
        <w:t>数据湖安全平台</w:t>
      </w:r>
    </w:p>
    <w:p>
      <w:pPr>
        <w:pStyle w:val="19"/>
        <w:numPr>
          <w:ilvl w:val="0"/>
          <w:numId w:val="11"/>
        </w:numPr>
        <w:spacing w:line="360" w:lineRule="auto"/>
        <w:ind w:firstLineChars="0"/>
        <w:rPr>
          <w:rFonts w:asciiTheme="minorEastAsia" w:hAnsiTheme="minorEastAsia" w:eastAsiaTheme="minorEastAsia"/>
        </w:rPr>
      </w:pPr>
      <w:r>
        <w:rPr>
          <w:rFonts w:hint="eastAsia" w:asciiTheme="minorEastAsia" w:hAnsiTheme="minorEastAsia" w:eastAsiaTheme="minorEastAsia"/>
        </w:rPr>
        <w:t>数据安全管理</w:t>
      </w:r>
    </w:p>
    <w:p>
      <w:pPr>
        <w:pStyle w:val="19"/>
        <w:numPr>
          <w:ilvl w:val="1"/>
          <w:numId w:val="11"/>
        </w:numPr>
        <w:spacing w:line="360" w:lineRule="auto"/>
        <w:ind w:firstLineChars="0"/>
        <w:rPr>
          <w:rFonts w:asciiTheme="minorEastAsia" w:hAnsiTheme="minorEastAsia" w:eastAsiaTheme="minorEastAsia"/>
        </w:rPr>
      </w:pPr>
      <w:r>
        <w:rPr>
          <w:rFonts w:hint="eastAsia" w:asciiTheme="minorEastAsia" w:hAnsiTheme="minorEastAsia" w:eastAsiaTheme="minorEastAsia"/>
        </w:rPr>
        <w:t>数据隔离模块：可根据业务需求，在数据湖内建立互相独立的数据安全池及数据交互池存储各模态数据，保证不同领域不同安全等级数据的安全隔离并支持上层应用关联分析。</w:t>
      </w:r>
    </w:p>
    <w:p>
      <w:pPr>
        <w:pStyle w:val="19"/>
        <w:numPr>
          <w:ilvl w:val="0"/>
          <w:numId w:val="11"/>
        </w:numPr>
        <w:spacing w:line="360" w:lineRule="auto"/>
        <w:ind w:firstLineChars="0"/>
        <w:rPr>
          <w:rFonts w:asciiTheme="minorEastAsia" w:hAnsiTheme="minorEastAsia" w:eastAsiaTheme="minorEastAsia"/>
        </w:rPr>
      </w:pPr>
      <w:r>
        <w:rPr>
          <w:rFonts w:hint="eastAsia" w:asciiTheme="minorEastAsia" w:hAnsiTheme="minorEastAsia" w:eastAsiaTheme="minorEastAsia"/>
        </w:rPr>
        <w:t>数据脱敏</w:t>
      </w:r>
    </w:p>
    <w:p>
      <w:pPr>
        <w:pStyle w:val="19"/>
        <w:numPr>
          <w:ilvl w:val="1"/>
          <w:numId w:val="11"/>
        </w:numPr>
        <w:spacing w:line="360" w:lineRule="auto"/>
        <w:ind w:firstLineChars="0"/>
        <w:rPr>
          <w:rFonts w:asciiTheme="minorEastAsia" w:hAnsiTheme="minorEastAsia" w:eastAsiaTheme="minorEastAsia"/>
        </w:rPr>
      </w:pPr>
      <w:r>
        <w:rPr>
          <w:rFonts w:hint="eastAsia" w:asciiTheme="minorEastAsia" w:hAnsiTheme="minorEastAsia" w:eastAsiaTheme="minorEastAsia"/>
        </w:rPr>
        <w:t>数据脱敏模块：建立医疗领域的敏感数据分类分级规范，通过脱敏等安全措施保障数据隐私不泄露。</w:t>
      </w:r>
    </w:p>
    <w:p>
      <w:pPr>
        <w:pStyle w:val="19"/>
        <w:numPr>
          <w:ilvl w:val="0"/>
          <w:numId w:val="11"/>
        </w:numPr>
        <w:spacing w:line="360" w:lineRule="auto"/>
        <w:ind w:firstLineChars="0"/>
        <w:rPr>
          <w:rFonts w:asciiTheme="minorEastAsia" w:hAnsiTheme="minorEastAsia" w:eastAsiaTheme="minorEastAsia"/>
        </w:rPr>
      </w:pPr>
      <w:r>
        <w:rPr>
          <w:rFonts w:hint="eastAsia" w:asciiTheme="minorEastAsia" w:hAnsiTheme="minorEastAsia" w:eastAsiaTheme="minorEastAsia"/>
        </w:rPr>
        <w:t>权限控制</w:t>
      </w:r>
    </w:p>
    <w:p>
      <w:pPr>
        <w:pStyle w:val="19"/>
        <w:numPr>
          <w:ilvl w:val="1"/>
          <w:numId w:val="11"/>
        </w:numPr>
        <w:spacing w:line="360" w:lineRule="auto"/>
        <w:ind w:firstLineChars="0"/>
        <w:rPr>
          <w:rFonts w:asciiTheme="minorEastAsia" w:hAnsiTheme="minorEastAsia" w:eastAsiaTheme="minorEastAsia"/>
        </w:rPr>
      </w:pPr>
      <w:r>
        <w:rPr>
          <w:rFonts w:hint="eastAsia" w:asciiTheme="minorEastAsia" w:hAnsiTheme="minorEastAsia" w:eastAsiaTheme="minorEastAsia"/>
        </w:rPr>
        <w:t>权限控制模块：建立针对数据内容及基础资源的独立权限控制系统，可根据业务需要进行灵活配置的细粒度授权管理，实现按需申请提供最小数据集。</w:t>
      </w:r>
    </w:p>
    <w:p>
      <w:pPr>
        <w:pStyle w:val="19"/>
        <w:numPr>
          <w:ilvl w:val="0"/>
          <w:numId w:val="11"/>
        </w:numPr>
        <w:spacing w:line="360" w:lineRule="auto"/>
        <w:ind w:firstLineChars="0"/>
        <w:rPr>
          <w:rFonts w:asciiTheme="minorEastAsia" w:hAnsiTheme="minorEastAsia" w:eastAsiaTheme="minorEastAsia"/>
        </w:rPr>
      </w:pPr>
      <w:r>
        <w:rPr>
          <w:rFonts w:hint="eastAsia" w:asciiTheme="minorEastAsia" w:hAnsiTheme="minorEastAsia" w:eastAsiaTheme="minorEastAsia"/>
        </w:rPr>
        <w:t>输出控制</w:t>
      </w:r>
    </w:p>
    <w:p>
      <w:pPr>
        <w:pStyle w:val="19"/>
        <w:numPr>
          <w:ilvl w:val="1"/>
          <w:numId w:val="11"/>
        </w:numPr>
        <w:spacing w:line="360" w:lineRule="auto"/>
        <w:ind w:firstLineChars="0"/>
        <w:rPr>
          <w:rFonts w:asciiTheme="minorEastAsia" w:hAnsiTheme="minorEastAsia" w:eastAsiaTheme="minorEastAsia"/>
        </w:rPr>
      </w:pPr>
      <w:r>
        <w:rPr>
          <w:rFonts w:hint="eastAsia" w:asciiTheme="minorEastAsia" w:hAnsiTheme="minorEastAsia" w:eastAsiaTheme="minorEastAsia"/>
        </w:rPr>
        <w:t>输出控制模块：不提供底层明细数据的导出功能，通过不同的分析工具满足用户不同场景的数据分析功能，保证原始数据可用而不可见。</w:t>
      </w:r>
    </w:p>
    <w:p>
      <w:pPr>
        <w:pStyle w:val="19"/>
        <w:numPr>
          <w:ilvl w:val="0"/>
          <w:numId w:val="11"/>
        </w:numPr>
        <w:spacing w:line="360" w:lineRule="auto"/>
        <w:ind w:firstLineChars="0"/>
        <w:rPr>
          <w:rFonts w:asciiTheme="minorEastAsia" w:hAnsiTheme="minorEastAsia" w:eastAsiaTheme="minorEastAsia"/>
        </w:rPr>
      </w:pPr>
      <w:r>
        <w:rPr>
          <w:rFonts w:hint="eastAsia" w:asciiTheme="minorEastAsia" w:hAnsiTheme="minorEastAsia" w:eastAsiaTheme="minorEastAsia"/>
        </w:rPr>
        <w:t>数据加密</w:t>
      </w:r>
    </w:p>
    <w:p>
      <w:pPr>
        <w:pStyle w:val="19"/>
        <w:numPr>
          <w:ilvl w:val="1"/>
          <w:numId w:val="11"/>
        </w:numPr>
        <w:spacing w:line="360" w:lineRule="auto"/>
        <w:ind w:firstLineChars="0"/>
        <w:rPr>
          <w:rFonts w:asciiTheme="minorEastAsia" w:hAnsiTheme="minorEastAsia" w:eastAsiaTheme="minorEastAsia"/>
        </w:rPr>
      </w:pPr>
      <w:r>
        <w:rPr>
          <w:rFonts w:hint="eastAsia" w:asciiTheme="minorEastAsia" w:hAnsiTheme="minorEastAsia" w:eastAsiaTheme="minorEastAsia"/>
        </w:rPr>
        <w:t>数据加密模块：支持对敏感数据做加密处理，如采用国密算法做对称加密或非对称加密、采用同态加密算法保障全流程隐私数据可用不可见。</w:t>
      </w:r>
    </w:p>
    <w:p>
      <w:pPr>
        <w:pStyle w:val="19"/>
        <w:numPr>
          <w:ilvl w:val="0"/>
          <w:numId w:val="11"/>
        </w:numPr>
        <w:spacing w:line="360" w:lineRule="auto"/>
        <w:ind w:firstLineChars="0"/>
        <w:rPr>
          <w:rFonts w:asciiTheme="minorEastAsia" w:hAnsiTheme="minorEastAsia" w:eastAsiaTheme="minorEastAsia"/>
        </w:rPr>
      </w:pPr>
      <w:r>
        <w:rPr>
          <w:rFonts w:hint="eastAsia" w:asciiTheme="minorEastAsia" w:hAnsiTheme="minorEastAsia" w:eastAsiaTheme="minorEastAsia"/>
        </w:rPr>
        <w:t>隐私计算</w:t>
      </w:r>
    </w:p>
    <w:p>
      <w:pPr>
        <w:pStyle w:val="19"/>
        <w:numPr>
          <w:ilvl w:val="1"/>
          <w:numId w:val="11"/>
        </w:numPr>
        <w:spacing w:line="360" w:lineRule="auto"/>
        <w:ind w:firstLineChars="0"/>
        <w:rPr>
          <w:rFonts w:asciiTheme="minorEastAsia" w:hAnsiTheme="minorEastAsia" w:eastAsiaTheme="minorEastAsia"/>
        </w:rPr>
      </w:pPr>
      <w:r>
        <w:rPr>
          <w:rFonts w:hint="eastAsia" w:asciiTheme="minorEastAsia" w:hAnsiTheme="minorEastAsia" w:eastAsiaTheme="minorEastAsia"/>
        </w:rPr>
        <w:t>隐私计算模块：在具体的数据运算使用业务中，利用密文计算、隐私求交技术，实现基于密文数据的查询、碰撞和建模方面的服务。</w:t>
      </w:r>
    </w:p>
    <w:p>
      <w:pPr>
        <w:pStyle w:val="19"/>
        <w:numPr>
          <w:ilvl w:val="0"/>
          <w:numId w:val="11"/>
        </w:numPr>
        <w:spacing w:line="360" w:lineRule="auto"/>
        <w:ind w:firstLineChars="0"/>
        <w:rPr>
          <w:rFonts w:asciiTheme="minorEastAsia" w:hAnsiTheme="minorEastAsia" w:eastAsiaTheme="minorEastAsia"/>
        </w:rPr>
      </w:pPr>
      <w:r>
        <w:rPr>
          <w:rFonts w:hint="eastAsia" w:asciiTheme="minorEastAsia" w:hAnsiTheme="minorEastAsia" w:eastAsiaTheme="minorEastAsia"/>
        </w:rPr>
        <w:t>数据权属认证</w:t>
      </w:r>
    </w:p>
    <w:p>
      <w:pPr>
        <w:pStyle w:val="19"/>
        <w:numPr>
          <w:ilvl w:val="1"/>
          <w:numId w:val="11"/>
        </w:numPr>
        <w:spacing w:line="360" w:lineRule="auto"/>
        <w:ind w:firstLineChars="0"/>
        <w:rPr>
          <w:rFonts w:asciiTheme="minorEastAsia" w:hAnsiTheme="minorEastAsia" w:eastAsiaTheme="minorEastAsia"/>
        </w:rPr>
      </w:pPr>
      <w:r>
        <w:rPr>
          <w:rFonts w:hint="eastAsia" w:asciiTheme="minorEastAsia" w:hAnsiTheme="minorEastAsia" w:eastAsiaTheme="minorEastAsia"/>
        </w:rPr>
        <w:t>数据权属认证模块：通过</w:t>
      </w:r>
      <w:r>
        <w:rPr>
          <w:rFonts w:asciiTheme="minorEastAsia" w:hAnsiTheme="minorEastAsia" w:eastAsiaTheme="minorEastAsia"/>
        </w:rPr>
        <w:t>CA认证技术，对数据湖中的数据实现数据属主确认、确权、鉴权服务，实现数据使用全流程中的属主定位鉴权，保障数据属主权益，增强数据资产管理。</w:t>
      </w:r>
    </w:p>
    <w:p>
      <w:pPr>
        <w:pStyle w:val="4"/>
        <w:spacing w:line="360" w:lineRule="auto"/>
        <w:rPr>
          <w:rFonts w:asciiTheme="minorEastAsia" w:hAnsiTheme="minorEastAsia" w:eastAsiaTheme="minorEastAsia"/>
        </w:rPr>
      </w:pPr>
      <w:r>
        <w:rPr>
          <w:rFonts w:hint="eastAsia" w:asciiTheme="minorEastAsia" w:hAnsiTheme="minorEastAsia" w:eastAsiaTheme="minorEastAsia"/>
        </w:rPr>
        <w:t>（2）数据应用</w:t>
      </w:r>
    </w:p>
    <w:p>
      <w:pPr>
        <w:pStyle w:val="5"/>
        <w:spacing w:line="360" w:lineRule="auto"/>
        <w:rPr>
          <w:rFonts w:asciiTheme="minorEastAsia" w:hAnsiTheme="minorEastAsia" w:eastAsiaTheme="minorEastAsia"/>
        </w:rPr>
      </w:pPr>
      <w:r>
        <w:rPr>
          <w:rFonts w:hint="eastAsia" w:asciiTheme="minorEastAsia" w:hAnsiTheme="minorEastAsia" w:eastAsiaTheme="minorEastAsia"/>
        </w:rPr>
        <w:t>2.1科研智能搜索平台</w:t>
      </w:r>
    </w:p>
    <w:p>
      <w:pPr>
        <w:spacing w:line="360" w:lineRule="auto"/>
        <w:ind w:left="420" w:firstLine="420"/>
        <w:rPr>
          <w:rFonts w:asciiTheme="minorEastAsia" w:hAnsiTheme="minorEastAsia" w:eastAsiaTheme="minorEastAsia"/>
        </w:rPr>
      </w:pPr>
      <w:r>
        <w:rPr>
          <w:rFonts w:hint="eastAsia" w:asciiTheme="minorEastAsia" w:hAnsiTheme="minorEastAsia" w:eastAsiaTheme="minorEastAsia"/>
        </w:rPr>
        <w:t>基于数据湖内治理后的数据资产，提供传统及智能两种方式进行检索筛选，以定位其中符合特定临床研究所需的患者、疾病等各种数据。节省科研人员阅读病历及筛选的时间，并防止收集数据出现遗漏。</w:t>
      </w:r>
    </w:p>
    <w:p>
      <w:pPr>
        <w:pStyle w:val="19"/>
        <w:numPr>
          <w:ilvl w:val="0"/>
          <w:numId w:val="12"/>
        </w:numPr>
        <w:spacing w:line="360" w:lineRule="auto"/>
        <w:ind w:firstLineChars="0"/>
        <w:rPr>
          <w:rFonts w:asciiTheme="minorEastAsia" w:hAnsiTheme="minorEastAsia" w:eastAsiaTheme="minorEastAsia"/>
        </w:rPr>
      </w:pPr>
      <w:r>
        <w:rPr>
          <w:rFonts w:hint="eastAsia" w:asciiTheme="minorEastAsia" w:hAnsiTheme="minorEastAsia" w:eastAsiaTheme="minorEastAsia"/>
        </w:rPr>
        <w:t>传统高级搜索</w:t>
      </w:r>
    </w:p>
    <w:p>
      <w:pPr>
        <w:pStyle w:val="19"/>
        <w:numPr>
          <w:ilvl w:val="1"/>
          <w:numId w:val="12"/>
        </w:numPr>
        <w:spacing w:line="360" w:lineRule="auto"/>
        <w:ind w:firstLineChars="0"/>
        <w:rPr>
          <w:rFonts w:asciiTheme="minorEastAsia" w:hAnsiTheme="minorEastAsia" w:eastAsiaTheme="minorEastAsia"/>
        </w:rPr>
      </w:pPr>
      <w:r>
        <w:rPr>
          <w:rFonts w:hint="eastAsia" w:asciiTheme="minorEastAsia" w:hAnsiTheme="minorEastAsia" w:eastAsiaTheme="minorEastAsia"/>
        </w:rPr>
        <w:t>全文检索：基于标准化、结构化、时序化处理后的医疗数据，建立倒排索引文件，提供符合科研用户使用习惯的快速、高相关性的全文搜索服务。</w:t>
      </w:r>
    </w:p>
    <w:p>
      <w:pPr>
        <w:pStyle w:val="19"/>
        <w:numPr>
          <w:ilvl w:val="1"/>
          <w:numId w:val="12"/>
        </w:numPr>
        <w:spacing w:line="360" w:lineRule="auto"/>
        <w:ind w:firstLineChars="0"/>
        <w:rPr>
          <w:rFonts w:asciiTheme="minorEastAsia" w:hAnsiTheme="minorEastAsia" w:eastAsiaTheme="minorEastAsia"/>
        </w:rPr>
      </w:pPr>
      <w:r>
        <w:rPr>
          <w:rFonts w:hint="eastAsia" w:asciiTheme="minorEastAsia" w:hAnsiTheme="minorEastAsia" w:eastAsiaTheme="minorEastAsia"/>
        </w:rPr>
        <w:t>精确/模糊检索：支持精确和模糊两种检索匹配方式，满足客户使用ID、描述等不同字段去检索的各种场景。</w:t>
      </w:r>
    </w:p>
    <w:p>
      <w:pPr>
        <w:pStyle w:val="19"/>
        <w:numPr>
          <w:ilvl w:val="1"/>
          <w:numId w:val="12"/>
        </w:numPr>
        <w:spacing w:line="360" w:lineRule="auto"/>
        <w:ind w:firstLineChars="0"/>
        <w:rPr>
          <w:rFonts w:asciiTheme="minorEastAsia" w:hAnsiTheme="minorEastAsia" w:eastAsiaTheme="minorEastAsia"/>
        </w:rPr>
      </w:pPr>
      <w:r>
        <w:rPr>
          <w:rFonts w:hint="eastAsia" w:asciiTheme="minorEastAsia" w:hAnsiTheme="minorEastAsia" w:eastAsiaTheme="minorEastAsia"/>
        </w:rPr>
        <w:t>组合嵌套搜索：以条件树形式可视化直观展示搜索内容，支持拖拽方式快速配置医学复杂逻辑关系的多层级嵌套查询条件，匹配查询结果集，辅助开展回顾性研究。</w:t>
      </w:r>
    </w:p>
    <w:p>
      <w:pPr>
        <w:pStyle w:val="19"/>
        <w:numPr>
          <w:ilvl w:val="1"/>
          <w:numId w:val="12"/>
        </w:numPr>
        <w:spacing w:line="360" w:lineRule="auto"/>
        <w:ind w:firstLineChars="0"/>
        <w:rPr>
          <w:rFonts w:asciiTheme="minorEastAsia" w:hAnsiTheme="minorEastAsia" w:eastAsiaTheme="minorEastAsia"/>
        </w:rPr>
      </w:pPr>
      <w:r>
        <w:rPr>
          <w:rFonts w:hint="eastAsia" w:asciiTheme="minorEastAsia" w:hAnsiTheme="minorEastAsia" w:eastAsiaTheme="minorEastAsia"/>
        </w:rPr>
        <w:t>排序/筛选辅助功能：</w:t>
      </w:r>
      <w:r>
        <w:rPr>
          <w:rFonts w:asciiTheme="minorEastAsia" w:hAnsiTheme="minorEastAsia" w:eastAsiaTheme="minorEastAsia"/>
        </w:rPr>
        <w:t>支持用户对搜索</w:t>
      </w:r>
      <w:r>
        <w:rPr>
          <w:rFonts w:hint="eastAsia" w:asciiTheme="minorEastAsia" w:hAnsiTheme="minorEastAsia" w:eastAsiaTheme="minorEastAsia"/>
        </w:rPr>
        <w:t>结果按照时间、科室、主管医生、患者信息等多种维度</w:t>
      </w:r>
      <w:r>
        <w:rPr>
          <w:rFonts w:asciiTheme="minorEastAsia" w:hAnsiTheme="minorEastAsia" w:eastAsiaTheme="minorEastAsia"/>
        </w:rPr>
        <w:t>进行排序</w:t>
      </w:r>
      <w:r>
        <w:rPr>
          <w:rFonts w:hint="eastAsia" w:asciiTheme="minorEastAsia" w:hAnsiTheme="minorEastAsia" w:eastAsiaTheme="minorEastAsia"/>
        </w:rPr>
        <w:t>或</w:t>
      </w:r>
      <w:r>
        <w:rPr>
          <w:rFonts w:asciiTheme="minorEastAsia" w:hAnsiTheme="minorEastAsia" w:eastAsiaTheme="minorEastAsia"/>
        </w:rPr>
        <w:t>二次过滤筛选</w:t>
      </w:r>
      <w:r>
        <w:rPr>
          <w:rFonts w:hint="eastAsia" w:asciiTheme="minorEastAsia" w:hAnsiTheme="minorEastAsia" w:eastAsiaTheme="minorEastAsia"/>
        </w:rPr>
        <w:t>。</w:t>
      </w:r>
    </w:p>
    <w:p>
      <w:pPr>
        <w:pStyle w:val="19"/>
        <w:numPr>
          <w:ilvl w:val="0"/>
          <w:numId w:val="12"/>
        </w:numPr>
        <w:spacing w:line="360" w:lineRule="auto"/>
        <w:ind w:firstLineChars="0"/>
        <w:rPr>
          <w:rFonts w:asciiTheme="minorEastAsia" w:hAnsiTheme="minorEastAsia" w:eastAsiaTheme="minorEastAsia"/>
        </w:rPr>
      </w:pPr>
      <w:r>
        <w:rPr>
          <w:rFonts w:hint="eastAsia" w:asciiTheme="minorEastAsia" w:hAnsiTheme="minorEastAsia" w:eastAsiaTheme="minorEastAsia"/>
        </w:rPr>
        <w:t>智能科研检索</w:t>
      </w:r>
    </w:p>
    <w:p>
      <w:pPr>
        <w:pStyle w:val="19"/>
        <w:numPr>
          <w:ilvl w:val="1"/>
          <w:numId w:val="12"/>
        </w:numPr>
        <w:spacing w:line="360" w:lineRule="auto"/>
        <w:ind w:firstLineChars="0"/>
        <w:rPr>
          <w:rFonts w:asciiTheme="minorEastAsia" w:hAnsiTheme="minorEastAsia" w:eastAsiaTheme="minorEastAsia"/>
        </w:rPr>
      </w:pPr>
      <w:r>
        <w:rPr>
          <w:rFonts w:hint="eastAsia" w:asciiTheme="minorEastAsia" w:hAnsiTheme="minorEastAsia" w:eastAsiaTheme="minorEastAsia"/>
        </w:rPr>
        <w:t>问答模式智能搜索：</w:t>
      </w:r>
      <w:r>
        <w:rPr>
          <w:rFonts w:asciiTheme="minorEastAsia" w:hAnsiTheme="minorEastAsia" w:eastAsiaTheme="minorEastAsia"/>
        </w:rPr>
        <w:t>基于</w:t>
      </w:r>
      <w:r>
        <w:rPr>
          <w:rFonts w:hint="eastAsia" w:asciiTheme="minorEastAsia" w:hAnsiTheme="minorEastAsia" w:eastAsiaTheme="minorEastAsia"/>
        </w:rPr>
        <w:t>科研</w:t>
      </w:r>
      <w:r>
        <w:rPr>
          <w:rFonts w:asciiTheme="minorEastAsia" w:hAnsiTheme="minorEastAsia" w:eastAsiaTheme="minorEastAsia"/>
        </w:rPr>
        <w:t>用户实际科研或管理需求，</w:t>
      </w:r>
      <w:r>
        <w:rPr>
          <w:rFonts w:hint="eastAsia" w:asciiTheme="minorEastAsia" w:hAnsiTheme="minorEastAsia" w:eastAsiaTheme="minorEastAsia"/>
        </w:rPr>
        <w:t>提供自然语音问答模式的智能搜索搜索功能，实现如“二次化疗后，心肌酶显著升高的患者”，“本科室去年口服抗生素剂量在</w:t>
      </w:r>
      <w:r>
        <w:rPr>
          <w:rFonts w:asciiTheme="minorEastAsia" w:hAnsiTheme="minorEastAsia" w:eastAsiaTheme="minorEastAsia"/>
        </w:rPr>
        <w:t>2片以上的患者”，“产检连续2次血压在140/90mmHg以上的患者”等</w:t>
      </w:r>
      <w:r>
        <w:rPr>
          <w:rFonts w:hint="eastAsia" w:asciiTheme="minorEastAsia" w:hAnsiTheme="minorEastAsia" w:eastAsiaTheme="minorEastAsia"/>
        </w:rPr>
        <w:t>复杂化搜索意图</w:t>
      </w:r>
      <w:r>
        <w:rPr>
          <w:rFonts w:asciiTheme="minorEastAsia" w:hAnsiTheme="minorEastAsia" w:eastAsiaTheme="minorEastAsia"/>
        </w:rPr>
        <w:t>，能快速智能化返回用户搜索结果。</w:t>
      </w:r>
    </w:p>
    <w:p>
      <w:pPr>
        <w:pStyle w:val="19"/>
        <w:numPr>
          <w:ilvl w:val="1"/>
          <w:numId w:val="12"/>
        </w:numPr>
        <w:spacing w:line="360" w:lineRule="auto"/>
        <w:ind w:firstLineChars="0"/>
        <w:rPr>
          <w:rFonts w:asciiTheme="minorEastAsia" w:hAnsiTheme="minorEastAsia" w:eastAsiaTheme="minorEastAsia"/>
        </w:rPr>
      </w:pPr>
      <w:r>
        <w:rPr>
          <w:rFonts w:hint="eastAsia" w:asciiTheme="minorEastAsia" w:hAnsiTheme="minorEastAsia" w:eastAsiaTheme="minorEastAsia"/>
        </w:rPr>
        <w:t>搜索结果分析：</w:t>
      </w:r>
      <w:r>
        <w:rPr>
          <w:rFonts w:asciiTheme="minorEastAsia" w:hAnsiTheme="minorEastAsia" w:eastAsiaTheme="minorEastAsia"/>
        </w:rPr>
        <w:t>提供</w:t>
      </w:r>
      <w:r>
        <w:rPr>
          <w:rFonts w:hint="eastAsia" w:asciiTheme="minorEastAsia" w:hAnsiTheme="minorEastAsia" w:eastAsiaTheme="minorEastAsia"/>
        </w:rPr>
        <w:t>结果</w:t>
      </w:r>
      <w:r>
        <w:rPr>
          <w:rFonts w:asciiTheme="minorEastAsia" w:hAnsiTheme="minorEastAsia" w:eastAsiaTheme="minorEastAsia"/>
        </w:rPr>
        <w:t>数据特征分布分析</w:t>
      </w:r>
      <w:r>
        <w:rPr>
          <w:rFonts w:hint="eastAsia" w:asciiTheme="minorEastAsia" w:hAnsiTheme="minorEastAsia" w:eastAsiaTheme="minorEastAsia"/>
        </w:rPr>
        <w:t>展示，满足科研用户对数据集质量的预分析需求。</w:t>
      </w:r>
    </w:p>
    <w:p>
      <w:pPr>
        <w:pStyle w:val="5"/>
        <w:spacing w:line="360" w:lineRule="auto"/>
        <w:rPr>
          <w:rFonts w:asciiTheme="minorEastAsia" w:hAnsiTheme="minorEastAsia" w:eastAsiaTheme="minorEastAsia"/>
        </w:rPr>
      </w:pPr>
      <w:r>
        <w:rPr>
          <w:rFonts w:hint="eastAsia" w:asciiTheme="minorEastAsia" w:hAnsiTheme="minorEastAsia" w:eastAsiaTheme="minorEastAsia"/>
        </w:rPr>
        <w:t>2.2科研学术服务平台</w:t>
      </w:r>
    </w:p>
    <w:p>
      <w:pPr>
        <w:spacing w:line="360" w:lineRule="auto"/>
        <w:ind w:left="420" w:firstLine="420"/>
        <w:rPr>
          <w:rFonts w:asciiTheme="minorEastAsia" w:hAnsiTheme="minorEastAsia" w:eastAsiaTheme="minorEastAsia"/>
        </w:rPr>
      </w:pPr>
      <w:r>
        <w:rPr>
          <w:rFonts w:hint="eastAsia" w:asciiTheme="minorEastAsia" w:hAnsiTheme="minorEastAsia" w:eastAsiaTheme="minorEastAsia"/>
        </w:rPr>
        <w:t>提供一站式的医学文献数据库查询入口，并提供各个领域的科研热点、文献分布、研究趋势等科研辅助服务。</w:t>
      </w:r>
    </w:p>
    <w:p>
      <w:pPr>
        <w:pStyle w:val="19"/>
        <w:numPr>
          <w:ilvl w:val="0"/>
          <w:numId w:val="13"/>
        </w:numPr>
        <w:spacing w:line="360" w:lineRule="auto"/>
        <w:ind w:firstLineChars="0"/>
        <w:rPr>
          <w:rFonts w:asciiTheme="minorEastAsia" w:hAnsiTheme="minorEastAsia" w:eastAsiaTheme="minorEastAsia"/>
        </w:rPr>
      </w:pPr>
      <w:r>
        <w:rPr>
          <w:rFonts w:hint="eastAsia" w:asciiTheme="minorEastAsia" w:hAnsiTheme="minorEastAsia" w:eastAsiaTheme="minorEastAsia"/>
        </w:rPr>
        <w:t>统一文献服务</w:t>
      </w:r>
    </w:p>
    <w:p>
      <w:pPr>
        <w:pStyle w:val="19"/>
        <w:numPr>
          <w:ilvl w:val="1"/>
          <w:numId w:val="13"/>
        </w:numPr>
        <w:spacing w:line="360" w:lineRule="auto"/>
        <w:ind w:firstLineChars="0"/>
        <w:rPr>
          <w:rFonts w:asciiTheme="minorEastAsia" w:hAnsiTheme="minorEastAsia" w:eastAsiaTheme="minorEastAsia"/>
        </w:rPr>
      </w:pPr>
      <w:r>
        <w:rPr>
          <w:rFonts w:hint="eastAsia" w:asciiTheme="minorEastAsia" w:hAnsiTheme="minorEastAsia" w:eastAsiaTheme="minorEastAsia"/>
        </w:rPr>
        <w:t>支持</w:t>
      </w:r>
      <w:r>
        <w:rPr>
          <w:rFonts w:asciiTheme="minorEastAsia" w:hAnsiTheme="minorEastAsia" w:eastAsiaTheme="minorEastAsia"/>
        </w:rPr>
        <w:t>Pubmed</w:t>
      </w:r>
      <w:r>
        <w:rPr>
          <w:rFonts w:hint="eastAsia" w:asciiTheme="minorEastAsia" w:hAnsiTheme="minorEastAsia" w:eastAsiaTheme="minorEastAsia"/>
        </w:rPr>
        <w:t>、</w:t>
      </w:r>
      <w:r>
        <w:rPr>
          <w:rFonts w:asciiTheme="minorEastAsia" w:hAnsiTheme="minorEastAsia" w:eastAsiaTheme="minorEastAsia"/>
        </w:rPr>
        <w:t>CNKI</w:t>
      </w:r>
      <w:r>
        <w:rPr>
          <w:rFonts w:hint="eastAsia" w:asciiTheme="minorEastAsia" w:hAnsiTheme="minorEastAsia" w:eastAsiaTheme="minorEastAsia"/>
        </w:rPr>
        <w:t>、万方等常用医学数据库的统一账号管理及登录服务，解决科研用户需要多平台切换、文献分散等问题，实现中外医学文献、指南应搜尽搜。</w:t>
      </w:r>
    </w:p>
    <w:p>
      <w:pPr>
        <w:pStyle w:val="19"/>
        <w:numPr>
          <w:ilvl w:val="0"/>
          <w:numId w:val="13"/>
        </w:numPr>
        <w:spacing w:line="360" w:lineRule="auto"/>
        <w:ind w:firstLineChars="0"/>
        <w:rPr>
          <w:rFonts w:asciiTheme="minorEastAsia" w:hAnsiTheme="minorEastAsia" w:eastAsiaTheme="minorEastAsia"/>
        </w:rPr>
      </w:pPr>
      <w:r>
        <w:rPr>
          <w:rFonts w:hint="eastAsia" w:asciiTheme="minorEastAsia" w:hAnsiTheme="minorEastAsia" w:eastAsiaTheme="minorEastAsia"/>
        </w:rPr>
        <w:t>科研辅助服务</w:t>
      </w:r>
    </w:p>
    <w:p>
      <w:pPr>
        <w:pStyle w:val="19"/>
        <w:numPr>
          <w:ilvl w:val="1"/>
          <w:numId w:val="13"/>
        </w:numPr>
        <w:spacing w:line="360" w:lineRule="auto"/>
        <w:ind w:firstLineChars="0"/>
        <w:rPr>
          <w:rFonts w:asciiTheme="minorEastAsia" w:hAnsiTheme="minorEastAsia" w:eastAsiaTheme="minorEastAsia"/>
        </w:rPr>
      </w:pPr>
      <w:r>
        <w:rPr>
          <w:rFonts w:hint="eastAsia" w:asciiTheme="minorEastAsia" w:hAnsiTheme="minorEastAsia" w:eastAsiaTheme="minorEastAsia"/>
        </w:rPr>
        <w:t>科研热点分析：对权威医学文献数据库、课题库信息进行专项抽取分析，提炼出各个领域的科研热点，让科研用户快速、实时了解业内状态。</w:t>
      </w:r>
    </w:p>
    <w:p>
      <w:pPr>
        <w:pStyle w:val="19"/>
        <w:numPr>
          <w:ilvl w:val="1"/>
          <w:numId w:val="13"/>
        </w:numPr>
        <w:spacing w:line="360" w:lineRule="auto"/>
        <w:ind w:firstLineChars="0"/>
        <w:rPr>
          <w:rFonts w:asciiTheme="minorEastAsia" w:hAnsiTheme="minorEastAsia" w:eastAsiaTheme="minorEastAsia"/>
        </w:rPr>
      </w:pPr>
      <w:r>
        <w:rPr>
          <w:rFonts w:hint="eastAsia" w:asciiTheme="minorEastAsia" w:hAnsiTheme="minorEastAsia" w:eastAsiaTheme="minorEastAsia"/>
        </w:rPr>
        <w:t>研究趋势分析：结合历年的文献分布、科研热点以及行业资讯，对研究趋势进行预测，为科研学术方向提供指导。</w:t>
      </w:r>
    </w:p>
    <w:p>
      <w:pPr>
        <w:pStyle w:val="5"/>
        <w:spacing w:line="360" w:lineRule="auto"/>
        <w:rPr>
          <w:rFonts w:asciiTheme="minorEastAsia" w:hAnsiTheme="minorEastAsia" w:eastAsiaTheme="minorEastAsia"/>
        </w:rPr>
      </w:pPr>
      <w:r>
        <w:rPr>
          <w:rFonts w:hint="eastAsia" w:asciiTheme="minorEastAsia" w:hAnsiTheme="minorEastAsia" w:eastAsiaTheme="minorEastAsia"/>
        </w:rPr>
        <w:t>2.3科研大数据分析平台</w:t>
      </w:r>
    </w:p>
    <w:p>
      <w:pPr>
        <w:spacing w:line="360" w:lineRule="auto"/>
        <w:ind w:left="420" w:firstLine="420"/>
        <w:rPr>
          <w:rFonts w:asciiTheme="minorEastAsia" w:hAnsiTheme="minorEastAsia" w:eastAsiaTheme="minorEastAsia"/>
        </w:rPr>
      </w:pPr>
      <w:r>
        <w:rPr>
          <w:rFonts w:hint="eastAsia" w:asciiTheme="minorEastAsia" w:hAnsiTheme="minorEastAsia" w:eastAsiaTheme="minorEastAsia"/>
        </w:rPr>
        <w:t>基于数据湖内丰富、规整的各领域数据资产，搭建数据分析平台满足科研用户在诊断、治疗、预后等不同阶段的科研数据分析需要。</w:t>
      </w:r>
    </w:p>
    <w:p>
      <w:pPr>
        <w:pStyle w:val="19"/>
        <w:numPr>
          <w:ilvl w:val="0"/>
          <w:numId w:val="14"/>
        </w:numPr>
        <w:tabs>
          <w:tab w:val="left" w:pos="420"/>
        </w:tabs>
        <w:spacing w:line="360" w:lineRule="auto"/>
        <w:ind w:firstLineChars="0"/>
        <w:rPr>
          <w:rFonts w:asciiTheme="minorEastAsia" w:hAnsiTheme="minorEastAsia" w:eastAsiaTheme="minorEastAsia"/>
        </w:rPr>
      </w:pPr>
      <w:r>
        <w:rPr>
          <w:rFonts w:hint="eastAsia" w:asciiTheme="minorEastAsia" w:hAnsiTheme="minorEastAsia" w:eastAsiaTheme="minorEastAsia"/>
        </w:rPr>
        <w:t>数据集管理</w:t>
      </w:r>
    </w:p>
    <w:p>
      <w:pPr>
        <w:pStyle w:val="19"/>
        <w:numPr>
          <w:ilvl w:val="1"/>
          <w:numId w:val="14"/>
        </w:numPr>
        <w:tabs>
          <w:tab w:val="left" w:pos="420"/>
        </w:tabs>
        <w:spacing w:line="360" w:lineRule="auto"/>
        <w:ind w:firstLineChars="0"/>
        <w:rPr>
          <w:rFonts w:asciiTheme="minorEastAsia" w:hAnsiTheme="minorEastAsia" w:eastAsiaTheme="minorEastAsia"/>
        </w:rPr>
      </w:pPr>
      <w:r>
        <w:rPr>
          <w:rFonts w:hint="eastAsia" w:asciiTheme="minorEastAsia" w:hAnsiTheme="minorEastAsia" w:eastAsiaTheme="minorEastAsia"/>
        </w:rPr>
        <w:t>湖内数据集：科研账号下已授权的数据湖内数据集，可通过配置相关库表信息，直接获取对应数据进行操作。</w:t>
      </w:r>
    </w:p>
    <w:p>
      <w:pPr>
        <w:pStyle w:val="19"/>
        <w:numPr>
          <w:ilvl w:val="1"/>
          <w:numId w:val="14"/>
        </w:numPr>
        <w:tabs>
          <w:tab w:val="left" w:pos="420"/>
        </w:tabs>
        <w:spacing w:line="360" w:lineRule="auto"/>
        <w:ind w:firstLineChars="0"/>
        <w:rPr>
          <w:rFonts w:asciiTheme="minorEastAsia" w:hAnsiTheme="minorEastAsia" w:eastAsiaTheme="minorEastAsia"/>
        </w:rPr>
      </w:pPr>
      <w:r>
        <w:rPr>
          <w:rFonts w:hint="eastAsia" w:asciiTheme="minorEastAsia" w:hAnsiTheme="minorEastAsia" w:eastAsiaTheme="minorEastAsia"/>
        </w:rPr>
        <w:t>离线数据集：用户也可以上传自有的文件数据，支持</w:t>
      </w:r>
      <w:r>
        <w:rPr>
          <w:rFonts w:asciiTheme="minorEastAsia" w:hAnsiTheme="minorEastAsia" w:eastAsiaTheme="minorEastAsia"/>
        </w:rPr>
        <w:t>Excel</w:t>
      </w:r>
      <w:r>
        <w:rPr>
          <w:rFonts w:hint="eastAsia" w:asciiTheme="minorEastAsia" w:hAnsiTheme="minorEastAsia" w:eastAsiaTheme="minorEastAsia"/>
        </w:rPr>
        <w:t>等多种</w:t>
      </w:r>
      <w:r>
        <w:rPr>
          <w:rFonts w:asciiTheme="minorEastAsia" w:hAnsiTheme="minorEastAsia" w:eastAsiaTheme="minorEastAsia"/>
        </w:rPr>
        <w:t>格式导入，数据上传后，将保存在</w:t>
      </w:r>
      <w:r>
        <w:rPr>
          <w:rFonts w:hint="eastAsia" w:asciiTheme="minorEastAsia" w:hAnsiTheme="minorEastAsia" w:eastAsiaTheme="minorEastAsia"/>
        </w:rPr>
        <w:t>数据湖私有化目录中仅供当前账号使用</w:t>
      </w:r>
      <w:r>
        <w:rPr>
          <w:rFonts w:asciiTheme="minorEastAsia" w:hAnsiTheme="minorEastAsia" w:eastAsiaTheme="minorEastAsia"/>
        </w:rPr>
        <w:t>。</w:t>
      </w:r>
    </w:p>
    <w:p>
      <w:pPr>
        <w:pStyle w:val="19"/>
        <w:numPr>
          <w:ilvl w:val="0"/>
          <w:numId w:val="14"/>
        </w:numPr>
        <w:tabs>
          <w:tab w:val="left" w:pos="420"/>
        </w:tabs>
        <w:spacing w:line="360" w:lineRule="auto"/>
        <w:ind w:firstLineChars="0"/>
        <w:rPr>
          <w:rFonts w:asciiTheme="minorEastAsia" w:hAnsiTheme="minorEastAsia" w:eastAsiaTheme="minorEastAsia"/>
        </w:rPr>
      </w:pPr>
      <w:r>
        <w:rPr>
          <w:rFonts w:hint="eastAsia" w:asciiTheme="minorEastAsia" w:hAnsiTheme="minorEastAsia" w:eastAsiaTheme="minorEastAsia"/>
        </w:rPr>
        <w:t>数据初步探查</w:t>
      </w:r>
    </w:p>
    <w:p>
      <w:pPr>
        <w:pStyle w:val="19"/>
        <w:numPr>
          <w:ilvl w:val="1"/>
          <w:numId w:val="14"/>
        </w:numPr>
        <w:tabs>
          <w:tab w:val="left" w:pos="420"/>
        </w:tabs>
        <w:spacing w:line="360" w:lineRule="auto"/>
        <w:ind w:firstLineChars="0"/>
        <w:rPr>
          <w:rFonts w:asciiTheme="minorEastAsia" w:hAnsiTheme="minorEastAsia" w:eastAsiaTheme="minorEastAsia"/>
        </w:rPr>
      </w:pPr>
      <w:r>
        <w:rPr>
          <w:rFonts w:hint="eastAsia" w:asciiTheme="minorEastAsia" w:hAnsiTheme="minorEastAsia" w:eastAsiaTheme="minorEastAsia"/>
        </w:rPr>
        <w:t>基础统计指标：均值、方差、极值等。</w:t>
      </w:r>
    </w:p>
    <w:p>
      <w:pPr>
        <w:pStyle w:val="19"/>
        <w:numPr>
          <w:ilvl w:val="1"/>
          <w:numId w:val="14"/>
        </w:numPr>
        <w:tabs>
          <w:tab w:val="left" w:pos="420"/>
        </w:tabs>
        <w:spacing w:line="360" w:lineRule="auto"/>
        <w:ind w:firstLineChars="0"/>
        <w:rPr>
          <w:rFonts w:asciiTheme="minorEastAsia" w:hAnsiTheme="minorEastAsia" w:eastAsiaTheme="minorEastAsia"/>
        </w:rPr>
      </w:pPr>
      <w:r>
        <w:rPr>
          <w:rFonts w:hint="eastAsia" w:asciiTheme="minorEastAsia" w:hAnsiTheme="minorEastAsia" w:eastAsiaTheme="minorEastAsia"/>
        </w:rPr>
        <w:t>分布分析：展示变量各种取值的分布情况，判断是否存在异常值与分布合理性。</w:t>
      </w:r>
    </w:p>
    <w:p>
      <w:pPr>
        <w:pStyle w:val="19"/>
        <w:numPr>
          <w:ilvl w:val="1"/>
          <w:numId w:val="14"/>
        </w:numPr>
        <w:tabs>
          <w:tab w:val="left" w:pos="420"/>
        </w:tabs>
        <w:spacing w:line="360" w:lineRule="auto"/>
        <w:ind w:firstLineChars="0"/>
        <w:rPr>
          <w:rFonts w:asciiTheme="minorEastAsia" w:hAnsiTheme="minorEastAsia" w:eastAsiaTheme="minorEastAsia"/>
        </w:rPr>
      </w:pPr>
      <w:r>
        <w:rPr>
          <w:rFonts w:hint="eastAsia" w:asciiTheme="minorEastAsia" w:hAnsiTheme="minorEastAsia" w:eastAsiaTheme="minorEastAsia"/>
        </w:rPr>
        <w:t>关联分析：对不同变量的之间的相关性进行探索，辅助确立研究方向。</w:t>
      </w:r>
    </w:p>
    <w:p>
      <w:pPr>
        <w:pStyle w:val="19"/>
        <w:numPr>
          <w:ilvl w:val="0"/>
          <w:numId w:val="14"/>
        </w:numPr>
        <w:tabs>
          <w:tab w:val="left" w:pos="420"/>
        </w:tabs>
        <w:spacing w:line="360" w:lineRule="auto"/>
        <w:ind w:firstLineChars="0"/>
        <w:rPr>
          <w:rFonts w:asciiTheme="minorEastAsia" w:hAnsiTheme="minorEastAsia" w:eastAsiaTheme="minorEastAsia"/>
        </w:rPr>
      </w:pPr>
      <w:r>
        <w:rPr>
          <w:rFonts w:hint="eastAsia" w:asciiTheme="minorEastAsia" w:hAnsiTheme="minorEastAsia" w:eastAsiaTheme="minorEastAsia"/>
        </w:rPr>
        <w:t>数据预处理</w:t>
      </w:r>
    </w:p>
    <w:p>
      <w:pPr>
        <w:pStyle w:val="19"/>
        <w:numPr>
          <w:ilvl w:val="1"/>
          <w:numId w:val="14"/>
        </w:numPr>
        <w:tabs>
          <w:tab w:val="left" w:pos="420"/>
        </w:tabs>
        <w:spacing w:line="360" w:lineRule="auto"/>
        <w:ind w:firstLineChars="0"/>
        <w:rPr>
          <w:rFonts w:asciiTheme="minorEastAsia" w:hAnsiTheme="minorEastAsia" w:eastAsiaTheme="minorEastAsia"/>
        </w:rPr>
      </w:pPr>
      <w:r>
        <w:rPr>
          <w:rFonts w:hint="eastAsia" w:asciiTheme="minorEastAsia" w:hAnsiTheme="minorEastAsia" w:eastAsiaTheme="minorEastAsia"/>
        </w:rPr>
        <w:t>数据清洗：包括正常的增、删、改、查以及字段合并、数据筛选、数据类型转换、异常值删除等常用的清洗功能。</w:t>
      </w:r>
    </w:p>
    <w:p>
      <w:pPr>
        <w:pStyle w:val="19"/>
        <w:numPr>
          <w:ilvl w:val="1"/>
          <w:numId w:val="14"/>
        </w:numPr>
        <w:tabs>
          <w:tab w:val="left" w:pos="420"/>
        </w:tabs>
        <w:spacing w:line="360" w:lineRule="auto"/>
        <w:ind w:firstLineChars="0"/>
        <w:rPr>
          <w:rFonts w:asciiTheme="minorEastAsia" w:hAnsiTheme="minorEastAsia" w:eastAsiaTheme="minorEastAsia"/>
        </w:rPr>
      </w:pPr>
      <w:r>
        <w:rPr>
          <w:rFonts w:hint="eastAsia" w:asciiTheme="minorEastAsia" w:hAnsiTheme="minorEastAsia" w:eastAsiaTheme="minorEastAsia"/>
        </w:rPr>
        <w:t>特征工程：主要包括缺失值的处理、归一化、特征编码等步骤。</w:t>
      </w:r>
    </w:p>
    <w:p>
      <w:pPr>
        <w:pStyle w:val="19"/>
        <w:numPr>
          <w:ilvl w:val="0"/>
          <w:numId w:val="14"/>
        </w:numPr>
        <w:tabs>
          <w:tab w:val="left" w:pos="420"/>
        </w:tabs>
        <w:spacing w:line="360" w:lineRule="auto"/>
        <w:ind w:firstLineChars="0"/>
        <w:rPr>
          <w:rFonts w:asciiTheme="minorEastAsia" w:hAnsiTheme="minorEastAsia" w:eastAsiaTheme="minorEastAsia"/>
        </w:rPr>
      </w:pPr>
      <w:r>
        <w:rPr>
          <w:rFonts w:hint="eastAsia" w:asciiTheme="minorEastAsia" w:hAnsiTheme="minorEastAsia" w:eastAsiaTheme="minorEastAsia"/>
        </w:rPr>
        <w:t>数据分析</w:t>
      </w:r>
    </w:p>
    <w:p>
      <w:pPr>
        <w:pStyle w:val="19"/>
        <w:numPr>
          <w:ilvl w:val="1"/>
          <w:numId w:val="14"/>
        </w:numPr>
        <w:tabs>
          <w:tab w:val="left" w:pos="420"/>
        </w:tabs>
        <w:spacing w:line="360" w:lineRule="auto"/>
        <w:ind w:firstLineChars="0"/>
        <w:rPr>
          <w:rFonts w:asciiTheme="minorEastAsia" w:hAnsiTheme="minorEastAsia" w:eastAsiaTheme="minorEastAsia"/>
        </w:rPr>
      </w:pPr>
      <w:r>
        <w:rPr>
          <w:rFonts w:hint="eastAsia" w:asciiTheme="minorEastAsia" w:hAnsiTheme="minorEastAsia" w:eastAsiaTheme="minorEastAsia"/>
        </w:rPr>
        <w:t>预制模板分析：内置多种统计分析及机器学习模型模板，通过拖拉拽等可视化交互方式对模型进行配置，快速验证实验推论。</w:t>
      </w:r>
    </w:p>
    <w:p>
      <w:pPr>
        <w:pStyle w:val="19"/>
        <w:numPr>
          <w:ilvl w:val="1"/>
          <w:numId w:val="14"/>
        </w:numPr>
        <w:tabs>
          <w:tab w:val="left" w:pos="420"/>
        </w:tabs>
        <w:spacing w:line="360" w:lineRule="auto"/>
        <w:ind w:firstLineChars="0"/>
        <w:rPr>
          <w:rFonts w:asciiTheme="minorEastAsia" w:hAnsiTheme="minorEastAsia" w:eastAsiaTheme="minorEastAsia"/>
        </w:rPr>
      </w:pPr>
      <w:r>
        <w:rPr>
          <w:rFonts w:hint="eastAsia" w:asciiTheme="minorEastAsia" w:hAnsiTheme="minorEastAsia" w:eastAsiaTheme="minorEastAsia"/>
        </w:rPr>
        <w:t>分析脚本分析：支持python、R等多种语言的分析脚本的部署与运行，方便高级科研用户进行特定场景的分析需要。</w:t>
      </w:r>
    </w:p>
    <w:p>
      <w:pPr>
        <w:pStyle w:val="19"/>
        <w:numPr>
          <w:ilvl w:val="0"/>
          <w:numId w:val="14"/>
        </w:numPr>
        <w:tabs>
          <w:tab w:val="left" w:pos="420"/>
        </w:tabs>
        <w:spacing w:line="360" w:lineRule="auto"/>
        <w:ind w:firstLineChars="0"/>
        <w:rPr>
          <w:rFonts w:asciiTheme="minorEastAsia" w:hAnsiTheme="minorEastAsia" w:eastAsiaTheme="minorEastAsia"/>
        </w:rPr>
      </w:pPr>
      <w:r>
        <w:rPr>
          <w:rFonts w:hint="eastAsia" w:asciiTheme="minorEastAsia" w:hAnsiTheme="minorEastAsia" w:eastAsiaTheme="minorEastAsia"/>
        </w:rPr>
        <w:t>结果展示</w:t>
      </w:r>
    </w:p>
    <w:p>
      <w:pPr>
        <w:pStyle w:val="19"/>
        <w:numPr>
          <w:ilvl w:val="0"/>
          <w:numId w:val="15"/>
        </w:numPr>
        <w:tabs>
          <w:tab w:val="left" w:pos="420"/>
        </w:tabs>
        <w:spacing w:line="360" w:lineRule="auto"/>
        <w:ind w:firstLineChars="0"/>
        <w:rPr>
          <w:rFonts w:asciiTheme="minorEastAsia" w:hAnsiTheme="minorEastAsia" w:eastAsiaTheme="minorEastAsia"/>
        </w:rPr>
      </w:pPr>
      <w:r>
        <w:rPr>
          <w:rFonts w:hint="eastAsia" w:asciiTheme="minorEastAsia" w:hAnsiTheme="minorEastAsia" w:eastAsiaTheme="minorEastAsia"/>
        </w:rPr>
        <w:t>数据可视化：提供直方图、散点图、箱型图等多种图表供数据结果展示使用，系统会根据分析模型自动选择适合的图表类型，用户也可根据需要选择其他个性化的图表。</w:t>
      </w:r>
    </w:p>
    <w:p>
      <w:pPr>
        <w:pStyle w:val="19"/>
        <w:numPr>
          <w:ilvl w:val="0"/>
          <w:numId w:val="15"/>
        </w:numPr>
        <w:tabs>
          <w:tab w:val="left" w:pos="420"/>
        </w:tabs>
        <w:spacing w:line="360" w:lineRule="auto"/>
        <w:ind w:firstLineChars="0"/>
        <w:rPr>
          <w:rFonts w:asciiTheme="minorEastAsia" w:hAnsiTheme="minorEastAsia" w:eastAsiaTheme="minorEastAsia"/>
        </w:rPr>
      </w:pPr>
      <w:r>
        <w:rPr>
          <w:rFonts w:hint="eastAsia" w:asciiTheme="minorEastAsia" w:hAnsiTheme="minorEastAsia" w:eastAsiaTheme="minorEastAsia"/>
        </w:rPr>
        <w:t>分析报告：系统根据分析结果自动生成相应的分析报告。该报告符合常规统计分析软件（</w:t>
      </w:r>
      <w:r>
        <w:rPr>
          <w:rFonts w:asciiTheme="minorEastAsia" w:hAnsiTheme="minorEastAsia" w:eastAsiaTheme="minorEastAsia"/>
        </w:rPr>
        <w:t>spss、sas）的分析结果，可直接应用于论文写作及科研项目中。</w:t>
      </w:r>
    </w:p>
    <w:p>
      <w:pPr>
        <w:pStyle w:val="5"/>
        <w:spacing w:line="360" w:lineRule="auto"/>
        <w:rPr>
          <w:rFonts w:asciiTheme="minorEastAsia" w:hAnsiTheme="minorEastAsia" w:eastAsiaTheme="minorEastAsia"/>
          <w:highlight w:val="none"/>
        </w:rPr>
      </w:pPr>
      <w:r>
        <w:rPr>
          <w:rFonts w:hint="eastAsia" w:asciiTheme="minorEastAsia" w:hAnsiTheme="minorEastAsia" w:eastAsiaTheme="minorEastAsia"/>
          <w:highlight w:val="none"/>
        </w:rPr>
        <w:t>2.4科研信息门户网站</w:t>
      </w:r>
    </w:p>
    <w:p>
      <w:pPr>
        <w:spacing w:line="360" w:lineRule="auto"/>
        <w:ind w:left="420" w:firstLine="420"/>
        <w:rPr>
          <w:rFonts w:asciiTheme="minorEastAsia" w:hAnsiTheme="minorEastAsia" w:eastAsiaTheme="minorEastAsia"/>
          <w:highlight w:val="none"/>
        </w:rPr>
      </w:pPr>
      <w:r>
        <w:rPr>
          <w:rFonts w:hint="eastAsia" w:asciiTheme="minorEastAsia" w:hAnsiTheme="minorEastAsia" w:eastAsiaTheme="minorEastAsia"/>
          <w:highlight w:val="none"/>
        </w:rPr>
        <w:t>建立一个全方位的科研分析管理平台，使每个科研用户快速查看、管理自己的科研分析项目，也为院方科研管理层提供一个全局的管理工具。</w:t>
      </w:r>
    </w:p>
    <w:p>
      <w:pPr>
        <w:pStyle w:val="19"/>
        <w:numPr>
          <w:ilvl w:val="0"/>
          <w:numId w:val="16"/>
        </w:numPr>
        <w:spacing w:line="360" w:lineRule="auto"/>
        <w:ind w:firstLineChars="0"/>
        <w:rPr>
          <w:rFonts w:asciiTheme="minorEastAsia" w:hAnsiTheme="minorEastAsia" w:eastAsiaTheme="minorEastAsia"/>
          <w:highlight w:val="none"/>
        </w:rPr>
      </w:pPr>
      <w:r>
        <w:rPr>
          <w:rFonts w:hint="eastAsia" w:asciiTheme="minorEastAsia" w:hAnsiTheme="minorEastAsia" w:eastAsiaTheme="minorEastAsia"/>
          <w:highlight w:val="none"/>
        </w:rPr>
        <w:t>科研动态：提供科研平台的新闻、介绍、操作手册、注意事项、科研热点等信息的发布。</w:t>
      </w:r>
    </w:p>
    <w:p>
      <w:pPr>
        <w:pStyle w:val="19"/>
        <w:numPr>
          <w:ilvl w:val="0"/>
          <w:numId w:val="16"/>
        </w:numPr>
        <w:spacing w:line="360" w:lineRule="auto"/>
        <w:ind w:firstLineChars="0"/>
        <w:rPr>
          <w:rFonts w:asciiTheme="minorEastAsia" w:hAnsiTheme="minorEastAsia" w:eastAsiaTheme="minorEastAsia"/>
          <w:highlight w:val="none"/>
        </w:rPr>
      </w:pPr>
      <w:r>
        <w:rPr>
          <w:rFonts w:hint="eastAsia" w:asciiTheme="minorEastAsia" w:hAnsiTheme="minorEastAsia" w:eastAsiaTheme="minorEastAsia"/>
          <w:highlight w:val="none"/>
        </w:rPr>
        <w:t>科研项目空间：可以按时间、科室、角色、项目活跃度等不同维度，对科研项目的病历、队列等主体进行监控，进而优化科研资源投入。</w:t>
      </w:r>
    </w:p>
    <w:p>
      <w:pPr>
        <w:pStyle w:val="19"/>
        <w:numPr>
          <w:ilvl w:val="0"/>
          <w:numId w:val="16"/>
        </w:numPr>
        <w:spacing w:line="360" w:lineRule="auto"/>
        <w:ind w:firstLineChars="0"/>
        <w:rPr>
          <w:rFonts w:asciiTheme="minorEastAsia" w:hAnsiTheme="minorEastAsia" w:eastAsiaTheme="minorEastAsia"/>
        </w:rPr>
      </w:pPr>
      <w:r>
        <w:rPr>
          <w:rFonts w:hint="eastAsia" w:asciiTheme="minorEastAsia" w:hAnsiTheme="minorEastAsia" w:eastAsiaTheme="minorEastAsia"/>
          <w:highlight w:val="none"/>
        </w:rPr>
        <w:t>科研结果溯源：提供科研项目从数据到分析到结果的全流程可信认证，并生成全网唯一的认证密钥</w:t>
      </w:r>
      <w:r>
        <w:rPr>
          <w:rFonts w:hint="eastAsia" w:asciiTheme="minorEastAsia" w:hAnsiTheme="minorEastAsia" w:eastAsiaTheme="minorEastAsia"/>
        </w:rPr>
        <w:t>，用于后期的科研溯源，防止学术造假。</w:t>
      </w:r>
    </w:p>
    <w:p>
      <w:pPr>
        <w:pStyle w:val="19"/>
        <w:numPr>
          <w:ilvl w:val="0"/>
          <w:numId w:val="16"/>
        </w:numPr>
        <w:spacing w:line="360" w:lineRule="auto"/>
        <w:ind w:firstLineChars="0"/>
        <w:rPr>
          <w:rFonts w:asciiTheme="minorEastAsia" w:hAnsiTheme="minorEastAsia" w:eastAsiaTheme="minorEastAsia"/>
        </w:rPr>
      </w:pPr>
      <w:r>
        <w:rPr>
          <w:rFonts w:hint="eastAsia" w:asciiTheme="minorEastAsia" w:hAnsiTheme="minorEastAsia" w:eastAsiaTheme="minorEastAsia"/>
        </w:rPr>
        <w:t>科研材料签名管理模块：可以对认证材料实现参与人、贡献人等的可信签名，为溯源和认证提供清晰的路径跟踪管理和溯源功能。</w:t>
      </w:r>
    </w:p>
    <w:p>
      <w:pPr>
        <w:pStyle w:val="19"/>
        <w:numPr>
          <w:ilvl w:val="0"/>
          <w:numId w:val="16"/>
        </w:numPr>
        <w:spacing w:line="360" w:lineRule="auto"/>
        <w:ind w:firstLineChars="0"/>
        <w:rPr>
          <w:rFonts w:asciiTheme="minorEastAsia" w:hAnsiTheme="minorEastAsia" w:eastAsiaTheme="minorEastAsia"/>
        </w:rPr>
      </w:pPr>
      <w:r>
        <w:rPr>
          <w:rFonts w:hint="eastAsia" w:asciiTheme="minorEastAsia" w:hAnsiTheme="minorEastAsia" w:eastAsiaTheme="minorEastAsia"/>
        </w:rPr>
        <w:t>数据调用行为监控及存证模块：采用可信行为认证签名、记录数据调用路径，治理存证、实现数据流和行为溯源。</w:t>
      </w:r>
    </w:p>
    <w:p>
      <w:pPr>
        <w:pStyle w:val="4"/>
        <w:spacing w:line="360" w:lineRule="auto"/>
        <w:rPr>
          <w:rFonts w:asciiTheme="minorEastAsia" w:hAnsiTheme="minorEastAsia" w:eastAsiaTheme="minorEastAsia"/>
        </w:rPr>
      </w:pPr>
      <w:r>
        <w:rPr>
          <w:rFonts w:hint="eastAsia" w:asciiTheme="minorEastAsia" w:hAnsiTheme="minorEastAsia" w:eastAsiaTheme="minorEastAsia"/>
        </w:rPr>
        <w:t>（3）项目管理</w:t>
      </w:r>
    </w:p>
    <w:p>
      <w:pPr>
        <w:spacing w:line="360" w:lineRule="auto"/>
        <w:ind w:firstLine="480" w:firstLineChars="200"/>
        <w:rPr>
          <w:rFonts w:asciiTheme="minorEastAsia" w:hAnsiTheme="minorEastAsia" w:eastAsiaTheme="minorEastAsia"/>
        </w:rPr>
      </w:pPr>
      <w:r>
        <w:rPr>
          <w:rFonts w:hint="eastAsia" w:asciiTheme="minorEastAsia" w:hAnsiTheme="minorEastAsia" w:eastAsiaTheme="minorEastAsia"/>
        </w:rPr>
        <w:t>院方、服务商指派代表组成立软件项目管理小组，管理本软件的开发和实施。提供管理小组成员名单和通讯方式。</w:t>
      </w:r>
    </w:p>
    <w:p>
      <w:pPr>
        <w:spacing w:line="360" w:lineRule="auto"/>
        <w:ind w:firstLine="480" w:firstLineChars="200"/>
        <w:rPr>
          <w:rFonts w:asciiTheme="minorEastAsia" w:hAnsiTheme="minorEastAsia" w:eastAsiaTheme="minorEastAsia"/>
        </w:rPr>
      </w:pPr>
      <w:r>
        <w:rPr>
          <w:rFonts w:hint="eastAsia" w:asciiTheme="minorEastAsia" w:hAnsiTheme="minorEastAsia" w:eastAsiaTheme="minorEastAsia"/>
        </w:rPr>
        <w:t>院方、服务商可以根据具体情况重新指定本方的管理小组的成员，但应当以书面方式通知另一方；如一方重新指定的小组成员涉及到本项目的重要方面，更换方应事先征得对方的书面同意。另一方应及时审查更换方提出的书面建议，双方在合理、善意、维护双方利益的基础上讨论更换事宜。</w:t>
      </w:r>
    </w:p>
    <w:p>
      <w:pPr>
        <w:pStyle w:val="4"/>
        <w:spacing w:line="360" w:lineRule="auto"/>
        <w:rPr>
          <w:rFonts w:asciiTheme="minorEastAsia" w:hAnsiTheme="minorEastAsia" w:eastAsiaTheme="minorEastAsia"/>
        </w:rPr>
      </w:pPr>
      <w:r>
        <w:rPr>
          <w:rFonts w:hint="eastAsia" w:asciiTheme="minorEastAsia" w:hAnsiTheme="minorEastAsia" w:eastAsiaTheme="minorEastAsia"/>
        </w:rPr>
        <w:t>（4）需求分析</w:t>
      </w:r>
    </w:p>
    <w:p>
      <w:pPr>
        <w:spacing w:line="360" w:lineRule="auto"/>
        <w:ind w:firstLine="480" w:firstLineChars="200"/>
        <w:rPr>
          <w:rFonts w:asciiTheme="minorEastAsia" w:hAnsiTheme="minorEastAsia" w:eastAsiaTheme="minorEastAsia"/>
        </w:rPr>
      </w:pPr>
      <w:r>
        <w:rPr>
          <w:rFonts w:hint="eastAsia" w:asciiTheme="minorEastAsia" w:hAnsiTheme="minorEastAsia" w:eastAsiaTheme="minorEastAsia"/>
        </w:rPr>
        <w:t>服务商需提供成立专门的项目组开展工作，同时指派专业需求人员与医院相关业务科室数据专家和科研专家人员沟通数据管理方案、数据治理标准、资源目录梳理、数据管理流程、数据开发内容、数据质量等内容，以及科研数据治理、科研数据应用等具体内容等，完成相关软件的开发需求分析和方案设计工作。</w:t>
      </w:r>
    </w:p>
    <w:p>
      <w:pPr>
        <w:spacing w:line="360" w:lineRule="auto"/>
        <w:ind w:firstLine="480" w:firstLineChars="200"/>
        <w:rPr>
          <w:rFonts w:asciiTheme="minorEastAsia" w:hAnsiTheme="minorEastAsia" w:eastAsiaTheme="minorEastAsia"/>
        </w:rPr>
      </w:pPr>
      <w:r>
        <w:rPr>
          <w:rFonts w:hint="eastAsia" w:asciiTheme="minorEastAsia" w:hAnsiTheme="minorEastAsia" w:eastAsiaTheme="minorEastAsia"/>
        </w:rPr>
        <w:t>为保证“软件”更好地满足</w:t>
      </w:r>
      <w:r>
        <w:rPr>
          <w:rFonts w:hint="eastAsia" w:asciiTheme="minorEastAsia" w:hAnsiTheme="minorEastAsia" w:eastAsiaTheme="minorEastAsia"/>
          <w:lang w:eastAsia="zh-CN"/>
        </w:rPr>
        <w:t>院方</w:t>
      </w:r>
      <w:r>
        <w:rPr>
          <w:rFonts w:hint="eastAsia" w:asciiTheme="minorEastAsia" w:hAnsiTheme="minorEastAsia" w:eastAsiaTheme="minorEastAsia"/>
        </w:rPr>
        <w:t>的工作需要，</w:t>
      </w:r>
      <w:r>
        <w:rPr>
          <w:rFonts w:hint="eastAsia" w:asciiTheme="minorEastAsia" w:hAnsiTheme="minorEastAsia" w:eastAsiaTheme="minorEastAsia"/>
          <w:lang w:val="en-US" w:eastAsia="zh-CN"/>
        </w:rPr>
        <w:t>服务方</w:t>
      </w:r>
      <w:r>
        <w:rPr>
          <w:rFonts w:hint="eastAsia" w:asciiTheme="minorEastAsia" w:hAnsiTheme="minorEastAsia" w:eastAsiaTheme="minorEastAsia"/>
        </w:rPr>
        <w:t>将在实施过程中，阶段性地向</w:t>
      </w:r>
      <w:r>
        <w:rPr>
          <w:rFonts w:hint="eastAsia" w:asciiTheme="minorEastAsia" w:hAnsiTheme="minorEastAsia" w:eastAsiaTheme="minorEastAsia"/>
          <w:lang w:eastAsia="zh-CN"/>
        </w:rPr>
        <w:t>院方</w:t>
      </w:r>
      <w:r>
        <w:rPr>
          <w:rFonts w:hint="eastAsia" w:asciiTheme="minorEastAsia" w:hAnsiTheme="minorEastAsia" w:eastAsiaTheme="minorEastAsia"/>
        </w:rPr>
        <w:t>征集产品需求，发放需求调查表。</w:t>
      </w:r>
      <w:r>
        <w:rPr>
          <w:rFonts w:hint="eastAsia" w:asciiTheme="minorEastAsia" w:hAnsiTheme="minorEastAsia" w:eastAsiaTheme="minorEastAsia"/>
          <w:lang w:eastAsia="zh-CN"/>
        </w:rPr>
        <w:t>院方</w:t>
      </w:r>
      <w:r>
        <w:rPr>
          <w:rFonts w:hint="eastAsia" w:asciiTheme="minorEastAsia" w:hAnsiTheme="minorEastAsia" w:eastAsiaTheme="minorEastAsia"/>
        </w:rPr>
        <w:t>项目管理人员在收到产品需求调查表，在10个工作日内，向</w:t>
      </w:r>
      <w:r>
        <w:rPr>
          <w:rFonts w:hint="eastAsia" w:asciiTheme="minorEastAsia" w:hAnsiTheme="minorEastAsia" w:eastAsiaTheme="minorEastAsia"/>
          <w:lang w:eastAsia="zh-CN"/>
        </w:rPr>
        <w:t>服务方</w:t>
      </w:r>
      <w:r>
        <w:rPr>
          <w:rFonts w:hint="eastAsia" w:asciiTheme="minorEastAsia" w:hAnsiTheme="minorEastAsia" w:eastAsiaTheme="minorEastAsia"/>
        </w:rPr>
        <w:t>提交填写完成的产品需求调查表。</w:t>
      </w:r>
      <w:r>
        <w:rPr>
          <w:rFonts w:hint="eastAsia" w:asciiTheme="minorEastAsia" w:hAnsiTheme="minorEastAsia" w:eastAsiaTheme="minorEastAsia"/>
          <w:lang w:eastAsia="zh-CN"/>
        </w:rPr>
        <w:t>服务方</w:t>
      </w:r>
      <w:r>
        <w:rPr>
          <w:rFonts w:hint="eastAsia" w:asciiTheme="minorEastAsia" w:hAnsiTheme="minorEastAsia" w:eastAsiaTheme="minorEastAsia"/>
        </w:rPr>
        <w:t>在收到</w:t>
      </w:r>
      <w:r>
        <w:rPr>
          <w:rFonts w:hint="eastAsia" w:asciiTheme="minorEastAsia" w:hAnsiTheme="minorEastAsia" w:eastAsiaTheme="minorEastAsia"/>
          <w:lang w:eastAsia="zh-CN"/>
        </w:rPr>
        <w:t>院方</w:t>
      </w:r>
      <w:r>
        <w:rPr>
          <w:rFonts w:hint="eastAsia" w:asciiTheme="minorEastAsia" w:hAnsiTheme="minorEastAsia" w:eastAsiaTheme="minorEastAsia"/>
        </w:rPr>
        <w:t>反馈产品需求调查表后，应在10个工作日内完成需求分析书。该需求分析书经</w:t>
      </w:r>
      <w:r>
        <w:rPr>
          <w:rFonts w:hint="eastAsia" w:asciiTheme="minorEastAsia" w:hAnsiTheme="minorEastAsia" w:eastAsiaTheme="minorEastAsia"/>
          <w:lang w:eastAsia="zh-CN"/>
        </w:rPr>
        <w:t>院方</w:t>
      </w:r>
      <w:r>
        <w:rPr>
          <w:rFonts w:hint="eastAsia" w:asciiTheme="minorEastAsia" w:hAnsiTheme="minorEastAsia" w:eastAsiaTheme="minorEastAsia"/>
        </w:rPr>
        <w:t>认可，并由</w:t>
      </w:r>
      <w:r>
        <w:rPr>
          <w:rFonts w:hint="eastAsia" w:asciiTheme="minorEastAsia" w:hAnsiTheme="minorEastAsia" w:eastAsiaTheme="minorEastAsia"/>
          <w:lang w:val="en-US" w:eastAsia="zh-CN"/>
        </w:rPr>
        <w:t>院方</w:t>
      </w:r>
      <w:r>
        <w:rPr>
          <w:rFonts w:hint="eastAsia" w:asciiTheme="minorEastAsia" w:hAnsiTheme="minorEastAsia" w:eastAsiaTheme="minorEastAsia"/>
        </w:rPr>
        <w:t>、</w:t>
      </w:r>
      <w:r>
        <w:rPr>
          <w:rFonts w:hint="eastAsia" w:asciiTheme="minorEastAsia" w:hAnsiTheme="minorEastAsia" w:eastAsiaTheme="minorEastAsia"/>
          <w:lang w:val="en-US" w:eastAsia="zh-CN"/>
        </w:rPr>
        <w:t>服务方</w:t>
      </w:r>
      <w:r>
        <w:rPr>
          <w:rFonts w:hint="eastAsia" w:asciiTheme="minorEastAsia" w:hAnsiTheme="minorEastAsia" w:eastAsiaTheme="minorEastAsia"/>
        </w:rPr>
        <w:t>双方签字后作为项目实施过程中的文件，由甲、乙双方项目经理各自保存。对于</w:t>
      </w:r>
      <w:r>
        <w:rPr>
          <w:rFonts w:hint="eastAsia" w:asciiTheme="minorEastAsia" w:hAnsiTheme="minorEastAsia" w:eastAsiaTheme="minorEastAsia"/>
          <w:lang w:eastAsia="zh-CN"/>
        </w:rPr>
        <w:t>院方</w:t>
      </w:r>
      <w:r>
        <w:rPr>
          <w:rFonts w:hint="eastAsia" w:asciiTheme="minorEastAsia" w:hAnsiTheme="minorEastAsia" w:eastAsiaTheme="minorEastAsia"/>
        </w:rPr>
        <w:t>主动提出的需求，</w:t>
      </w:r>
      <w:r>
        <w:rPr>
          <w:rFonts w:hint="eastAsia" w:asciiTheme="minorEastAsia" w:hAnsiTheme="minorEastAsia" w:eastAsiaTheme="minorEastAsia"/>
          <w:lang w:eastAsia="zh-CN"/>
        </w:rPr>
        <w:t>服务方</w:t>
      </w:r>
      <w:r>
        <w:rPr>
          <w:rFonts w:hint="eastAsia" w:asciiTheme="minorEastAsia" w:hAnsiTheme="minorEastAsia" w:eastAsiaTheme="minorEastAsia"/>
        </w:rPr>
        <w:t>应予以积极配合，并在收到需求信息后10个工作日内完成需求分析书。该需求分析书经双方签字后作为项目实施文件，由甲、乙双方项目经理各自保存。对于双方确定的需求，</w:t>
      </w:r>
      <w:r>
        <w:rPr>
          <w:rFonts w:hint="eastAsia" w:asciiTheme="minorEastAsia" w:hAnsiTheme="minorEastAsia" w:eastAsiaTheme="minorEastAsia"/>
          <w:lang w:eastAsia="zh-CN"/>
        </w:rPr>
        <w:t>服务方</w:t>
      </w:r>
      <w:r>
        <w:rPr>
          <w:rFonts w:hint="eastAsia" w:asciiTheme="minorEastAsia" w:hAnsiTheme="minorEastAsia" w:eastAsiaTheme="minorEastAsia"/>
        </w:rPr>
        <w:t>应积极履行开发及实施责任。</w:t>
      </w:r>
    </w:p>
    <w:p>
      <w:pPr>
        <w:pStyle w:val="2"/>
        <w:numPr>
          <w:ilvl w:val="0"/>
          <w:numId w:val="2"/>
        </w:numPr>
        <w:spacing w:before="0" w:after="0" w:line="360" w:lineRule="auto"/>
        <w:rPr>
          <w:rFonts w:asciiTheme="minorEastAsia" w:hAnsiTheme="minorEastAsia" w:eastAsiaTheme="minorEastAsia"/>
          <w:sz w:val="32"/>
          <w:szCs w:val="32"/>
        </w:rPr>
      </w:pPr>
      <w:r>
        <w:rPr>
          <w:rFonts w:hint="eastAsia" w:asciiTheme="minorEastAsia" w:hAnsiTheme="minorEastAsia" w:eastAsiaTheme="minorEastAsia"/>
          <w:sz w:val="32"/>
          <w:szCs w:val="32"/>
        </w:rPr>
        <w:t>服务方式</w:t>
      </w:r>
    </w:p>
    <w:p>
      <w:pPr>
        <w:pStyle w:val="3"/>
        <w:spacing w:line="360" w:lineRule="auto"/>
        <w:ind w:leftChars="0"/>
        <w:rPr>
          <w:rFonts w:asciiTheme="minorEastAsia" w:hAnsiTheme="minorEastAsia" w:eastAsiaTheme="minorEastAsia"/>
        </w:rPr>
      </w:pPr>
      <w:r>
        <w:rPr>
          <w:rFonts w:hint="eastAsia" w:asciiTheme="minorEastAsia" w:hAnsiTheme="minorEastAsia" w:eastAsiaTheme="minorEastAsia"/>
        </w:rPr>
        <w:t>（一）实施服务</w:t>
      </w:r>
    </w:p>
    <w:p>
      <w:pPr>
        <w:spacing w:line="360" w:lineRule="auto"/>
        <w:ind w:firstLine="420"/>
        <w:rPr>
          <w:rFonts w:asciiTheme="minorEastAsia" w:hAnsiTheme="minorEastAsia" w:eastAsiaTheme="minorEastAsia"/>
        </w:rPr>
      </w:pPr>
      <w:r>
        <w:rPr>
          <w:rFonts w:hint="eastAsia" w:asciiTheme="minorEastAsia" w:hAnsiTheme="minorEastAsia" w:eastAsiaTheme="minorEastAsia"/>
        </w:rPr>
        <w:t>提供</w:t>
      </w:r>
      <w:r>
        <w:rPr>
          <w:rFonts w:hint="eastAsia" w:cs="Times New Roman" w:asciiTheme="minorEastAsia" w:hAnsiTheme="minorEastAsia" w:eastAsiaTheme="minorEastAsia"/>
        </w:rPr>
        <w:t>数据湖管理平台</w:t>
      </w:r>
      <w:r>
        <w:rPr>
          <w:rFonts w:hint="eastAsia" w:asciiTheme="minorEastAsia" w:hAnsiTheme="minorEastAsia" w:eastAsiaTheme="minorEastAsia"/>
        </w:rPr>
        <w:t>、</w:t>
      </w:r>
      <w:r>
        <w:rPr>
          <w:rFonts w:hint="eastAsia" w:cs="Times New Roman" w:asciiTheme="minorEastAsia" w:hAnsiTheme="minorEastAsia" w:eastAsiaTheme="minorEastAsia"/>
        </w:rPr>
        <w:t>数据治理平台</w:t>
      </w:r>
      <w:r>
        <w:rPr>
          <w:rFonts w:hint="eastAsia" w:asciiTheme="minorEastAsia" w:hAnsiTheme="minorEastAsia" w:eastAsiaTheme="minorEastAsia"/>
        </w:rPr>
        <w:t>、以及数据应用等建设</w:t>
      </w:r>
      <w:r>
        <w:rPr>
          <w:rFonts w:asciiTheme="minorEastAsia" w:hAnsiTheme="minorEastAsia" w:eastAsiaTheme="minorEastAsia"/>
        </w:rPr>
        <w:t>系统</w:t>
      </w:r>
      <w:r>
        <w:rPr>
          <w:rFonts w:hint="eastAsia" w:asciiTheme="minorEastAsia" w:hAnsiTheme="minorEastAsia" w:eastAsiaTheme="minorEastAsia"/>
        </w:rPr>
        <w:t>的基础环境</w:t>
      </w:r>
      <w:r>
        <w:rPr>
          <w:rFonts w:asciiTheme="minorEastAsia" w:hAnsiTheme="minorEastAsia" w:eastAsiaTheme="minorEastAsia"/>
        </w:rPr>
        <w:t>部署</w:t>
      </w:r>
      <w:r>
        <w:rPr>
          <w:rFonts w:hint="eastAsia" w:asciiTheme="minorEastAsia" w:hAnsiTheme="minorEastAsia" w:eastAsiaTheme="minorEastAsia"/>
        </w:rPr>
        <w:t>工作，</w:t>
      </w:r>
      <w:r>
        <w:rPr>
          <w:rFonts w:asciiTheme="minorEastAsia" w:hAnsiTheme="minorEastAsia" w:eastAsiaTheme="minorEastAsia"/>
        </w:rPr>
        <w:t>包括：服务器环境及数据库安装</w:t>
      </w:r>
      <w:r>
        <w:rPr>
          <w:rFonts w:hint="eastAsia" w:asciiTheme="minorEastAsia" w:hAnsiTheme="minorEastAsia" w:eastAsiaTheme="minorEastAsia"/>
        </w:rPr>
        <w:t>、</w:t>
      </w:r>
      <w:r>
        <w:rPr>
          <w:rFonts w:asciiTheme="minorEastAsia" w:hAnsiTheme="minorEastAsia" w:eastAsiaTheme="minorEastAsia"/>
        </w:rPr>
        <w:t>版本部署</w:t>
      </w:r>
      <w:r>
        <w:rPr>
          <w:rFonts w:hint="eastAsia" w:asciiTheme="minorEastAsia" w:hAnsiTheme="minorEastAsia" w:eastAsiaTheme="minorEastAsia"/>
        </w:rPr>
        <w:t>、</w:t>
      </w:r>
      <w:r>
        <w:rPr>
          <w:rFonts w:asciiTheme="minorEastAsia" w:hAnsiTheme="minorEastAsia" w:eastAsiaTheme="minorEastAsia"/>
        </w:rPr>
        <w:t>数据接口部署对接等。</w:t>
      </w:r>
    </w:p>
    <w:p>
      <w:pPr>
        <w:spacing w:line="360" w:lineRule="auto"/>
        <w:ind w:firstLine="420"/>
        <w:rPr>
          <w:rFonts w:asciiTheme="minorEastAsia" w:hAnsiTheme="minorEastAsia" w:eastAsiaTheme="minorEastAsia"/>
        </w:rPr>
      </w:pPr>
      <w:r>
        <w:rPr>
          <w:rFonts w:hint="eastAsia" w:cs="Times New Roman" w:asciiTheme="minorEastAsia" w:hAnsiTheme="minorEastAsia" w:eastAsiaTheme="minorEastAsia"/>
        </w:rPr>
        <w:t>数据湖管理平台</w:t>
      </w:r>
      <w:r>
        <w:rPr>
          <w:rFonts w:hint="eastAsia" w:asciiTheme="minorEastAsia" w:hAnsiTheme="minorEastAsia" w:eastAsiaTheme="minorEastAsia"/>
        </w:rPr>
        <w:t>、</w:t>
      </w:r>
      <w:r>
        <w:rPr>
          <w:rFonts w:hint="eastAsia" w:cs="Times New Roman" w:asciiTheme="minorEastAsia" w:hAnsiTheme="minorEastAsia" w:eastAsiaTheme="minorEastAsia"/>
        </w:rPr>
        <w:t>数据治理平台</w:t>
      </w:r>
      <w:r>
        <w:rPr>
          <w:rFonts w:hint="eastAsia" w:asciiTheme="minorEastAsia" w:hAnsiTheme="minorEastAsia" w:eastAsiaTheme="minorEastAsia"/>
        </w:rPr>
        <w:t>涉及到数据统一汇聚、资源目录梳理、分类体系建立、标准化治理、资产登记、资产运营等过程，服务商需提供以下服务：</w:t>
      </w:r>
    </w:p>
    <w:p>
      <w:pPr>
        <w:pStyle w:val="19"/>
        <w:numPr>
          <w:ilvl w:val="0"/>
          <w:numId w:val="17"/>
        </w:numPr>
        <w:spacing w:line="360" w:lineRule="auto"/>
        <w:ind w:firstLineChars="0"/>
        <w:rPr>
          <w:rFonts w:asciiTheme="minorEastAsia" w:hAnsiTheme="minorEastAsia" w:eastAsiaTheme="minorEastAsia"/>
        </w:rPr>
      </w:pPr>
      <w:r>
        <w:rPr>
          <w:rFonts w:hint="eastAsia" w:asciiTheme="minorEastAsia" w:hAnsiTheme="minorEastAsia" w:eastAsiaTheme="minorEastAsia"/>
        </w:rPr>
        <w:t>数据统一汇聚：通过医疗机构内部业务系统之间的协作，完成医疗机构数据的统一采集、统一标注、统一标化、统一处理和统一存储。</w:t>
      </w:r>
    </w:p>
    <w:p>
      <w:pPr>
        <w:pStyle w:val="19"/>
        <w:numPr>
          <w:ilvl w:val="0"/>
          <w:numId w:val="17"/>
        </w:numPr>
        <w:spacing w:line="360" w:lineRule="auto"/>
        <w:ind w:firstLineChars="0"/>
        <w:rPr>
          <w:rFonts w:asciiTheme="minorEastAsia" w:hAnsiTheme="minorEastAsia" w:eastAsiaTheme="minorEastAsia"/>
        </w:rPr>
      </w:pPr>
      <w:r>
        <w:rPr>
          <w:rFonts w:hint="eastAsia" w:asciiTheme="minorEastAsia" w:hAnsiTheme="minorEastAsia" w:eastAsiaTheme="minorEastAsia"/>
        </w:rPr>
        <w:t>数据资源目录梳理：通过对其他行业的信息资源目录体系的理论研究，完成医疗机构数据资产目录的有效整理和高效集成，并从元数据、技术体系、分类体系、共享交换、跨层级体系及服务体系等方面构建数据资产目录。</w:t>
      </w:r>
    </w:p>
    <w:p>
      <w:pPr>
        <w:pStyle w:val="19"/>
        <w:numPr>
          <w:ilvl w:val="0"/>
          <w:numId w:val="17"/>
        </w:numPr>
        <w:spacing w:line="360" w:lineRule="auto"/>
        <w:ind w:firstLineChars="0"/>
        <w:rPr>
          <w:rFonts w:asciiTheme="minorEastAsia" w:hAnsiTheme="minorEastAsia" w:eastAsiaTheme="minorEastAsia"/>
        </w:rPr>
      </w:pPr>
      <w:r>
        <w:rPr>
          <w:rFonts w:hint="eastAsia" w:asciiTheme="minorEastAsia" w:hAnsiTheme="minorEastAsia" w:eastAsiaTheme="minorEastAsia"/>
        </w:rPr>
        <w:t>数据分类体系建立：通过梳理机构内数据形成医疗机构内部数据分类体系，用于区分医疗机构内部管理和对外合作过程中的数据服务的数据边界。该分类体系将医学数据分类存储，分级设置权限，在不丢失数据信息基础的同时，保证数据安全。</w:t>
      </w:r>
    </w:p>
    <w:p>
      <w:pPr>
        <w:pStyle w:val="19"/>
        <w:numPr>
          <w:ilvl w:val="0"/>
          <w:numId w:val="17"/>
        </w:numPr>
        <w:spacing w:line="360" w:lineRule="auto"/>
        <w:ind w:firstLineChars="0"/>
        <w:rPr>
          <w:rFonts w:asciiTheme="minorEastAsia" w:hAnsiTheme="minorEastAsia" w:eastAsiaTheme="minorEastAsia"/>
        </w:rPr>
      </w:pPr>
      <w:r>
        <w:rPr>
          <w:rFonts w:hint="eastAsia" w:asciiTheme="minorEastAsia" w:hAnsiTheme="minorEastAsia" w:eastAsiaTheme="minorEastAsia"/>
        </w:rPr>
        <w:t>数据标准化治理：在医疗机构数据治理的过程中，针对医学术语多样化问题，需要遵从国家标准及行业规范建立标准数据元；针对数据库结构异构问题，需要建立一套标准数据集。将来自不同服务商、不同分支机构的数据、数据元和数据表一一映射，生成映射规则。根据映射规则，对数据进行转化和清洗，最终形成归一化、结构化的医疗数据。</w:t>
      </w:r>
    </w:p>
    <w:p>
      <w:pPr>
        <w:pStyle w:val="19"/>
        <w:numPr>
          <w:ilvl w:val="0"/>
          <w:numId w:val="17"/>
        </w:numPr>
        <w:spacing w:line="360" w:lineRule="auto"/>
        <w:ind w:firstLineChars="0"/>
        <w:rPr>
          <w:rFonts w:asciiTheme="minorEastAsia" w:hAnsiTheme="minorEastAsia" w:eastAsiaTheme="minorEastAsia"/>
        </w:rPr>
      </w:pPr>
      <w:r>
        <w:rPr>
          <w:rFonts w:hint="eastAsia" w:asciiTheme="minorEastAsia" w:hAnsiTheme="minorEastAsia" w:eastAsiaTheme="minorEastAsia"/>
        </w:rPr>
        <w:t>数据资产登记：通过数据治理之后形成的医疗数据资产目录对医疗机构数据进行统筹管理，转变当前我国医疗机构信息资源管理观念，明确权属关系及价值属性，并构成跨系统甚至跨机构协同的依据。</w:t>
      </w:r>
    </w:p>
    <w:p>
      <w:pPr>
        <w:pStyle w:val="19"/>
        <w:numPr>
          <w:ilvl w:val="0"/>
          <w:numId w:val="17"/>
        </w:numPr>
        <w:spacing w:line="360" w:lineRule="auto"/>
        <w:ind w:firstLineChars="0"/>
        <w:rPr>
          <w:rFonts w:asciiTheme="minorEastAsia" w:hAnsiTheme="minorEastAsia" w:eastAsiaTheme="minorEastAsia"/>
        </w:rPr>
      </w:pPr>
      <w:r>
        <w:rPr>
          <w:rFonts w:hint="eastAsia" w:asciiTheme="minorEastAsia" w:hAnsiTheme="minorEastAsia" w:eastAsiaTheme="minorEastAsia"/>
        </w:rPr>
        <w:t>数据资产运营：在开展医疗机构数据资产运营和应用的过程中需要对外提供数据服务，依据国家信息技术安全管理要求，对数据应用前必须进行脱敏处理。数据脱敏需要依从医疗数据分类分级标准，该标准遵循各级界限明确、就高不就低原则。脱敏后的数据，可便捷的针对不同的应用场景提供不同级别的数据服务。</w:t>
      </w:r>
    </w:p>
    <w:p>
      <w:pPr>
        <w:spacing w:line="360" w:lineRule="auto"/>
        <w:ind w:firstLine="420"/>
        <w:rPr>
          <w:rFonts w:asciiTheme="minorEastAsia" w:hAnsiTheme="minorEastAsia" w:eastAsiaTheme="minorEastAsia"/>
        </w:rPr>
      </w:pPr>
      <w:r>
        <w:rPr>
          <w:rFonts w:hint="eastAsia" w:asciiTheme="minorEastAsia" w:hAnsiTheme="minorEastAsia" w:eastAsiaTheme="minorEastAsia"/>
        </w:rPr>
        <w:t>针对科研大数据平台应用，服务商还需提供以下服务：</w:t>
      </w:r>
    </w:p>
    <w:p>
      <w:pPr>
        <w:pStyle w:val="19"/>
        <w:numPr>
          <w:ilvl w:val="0"/>
          <w:numId w:val="18"/>
        </w:numPr>
        <w:spacing w:line="360" w:lineRule="auto"/>
        <w:ind w:firstLineChars="0"/>
        <w:rPr>
          <w:rFonts w:asciiTheme="minorEastAsia" w:hAnsiTheme="minorEastAsia" w:eastAsiaTheme="minorEastAsia"/>
        </w:rPr>
      </w:pPr>
      <w:r>
        <w:rPr>
          <w:rFonts w:hint="eastAsia" w:asciiTheme="minorEastAsia" w:hAnsiTheme="minorEastAsia" w:eastAsiaTheme="minorEastAsia"/>
        </w:rPr>
        <w:t>数据查询：基于科研数据应用系统的标准变量及值域，允许数据使用方自行定义数据筛选条件以及条件之间的逻辑关系，从全量库获取目标数据。</w:t>
      </w:r>
    </w:p>
    <w:p>
      <w:pPr>
        <w:pStyle w:val="19"/>
        <w:numPr>
          <w:ilvl w:val="0"/>
          <w:numId w:val="18"/>
        </w:numPr>
        <w:spacing w:line="360" w:lineRule="auto"/>
        <w:ind w:firstLineChars="0"/>
        <w:rPr>
          <w:rFonts w:asciiTheme="minorEastAsia" w:hAnsiTheme="minorEastAsia" w:eastAsiaTheme="minorEastAsia"/>
        </w:rPr>
      </w:pPr>
      <w:r>
        <w:rPr>
          <w:rFonts w:hint="eastAsia" w:asciiTheme="minorEastAsia" w:hAnsiTheme="minorEastAsia" w:eastAsiaTheme="minorEastAsia"/>
        </w:rPr>
        <w:t>数据展示：针对查询所得的目标数据，数据使用方利用科研数据应用系统提供的多种数据可视化方法，展示目标数据和目标数据的分析过程；</w:t>
      </w:r>
    </w:p>
    <w:p>
      <w:pPr>
        <w:pStyle w:val="19"/>
        <w:numPr>
          <w:ilvl w:val="0"/>
          <w:numId w:val="18"/>
        </w:numPr>
        <w:spacing w:line="360" w:lineRule="auto"/>
        <w:ind w:firstLineChars="0"/>
        <w:rPr>
          <w:rFonts w:asciiTheme="minorEastAsia" w:hAnsiTheme="minorEastAsia" w:eastAsiaTheme="minorEastAsia"/>
        </w:rPr>
      </w:pPr>
      <w:r>
        <w:rPr>
          <w:rFonts w:hint="eastAsia" w:asciiTheme="minorEastAsia" w:hAnsiTheme="minorEastAsia" w:eastAsiaTheme="minorEastAsia"/>
        </w:rPr>
        <w:t>数据分析：针对特定主体库，按照统计学方法对所选取的研究对象及其相关暴露和结局进行统计分析，并形成结论和报告，统计方法至少包括比较均值分析、非参检验、回归分析、相关性分析等。</w:t>
      </w:r>
    </w:p>
    <w:p>
      <w:pPr>
        <w:pStyle w:val="19"/>
        <w:numPr>
          <w:ilvl w:val="0"/>
          <w:numId w:val="18"/>
        </w:numPr>
        <w:spacing w:line="360" w:lineRule="auto"/>
        <w:ind w:firstLineChars="0"/>
        <w:rPr>
          <w:rFonts w:asciiTheme="minorEastAsia" w:hAnsiTheme="minorEastAsia" w:eastAsiaTheme="minorEastAsia"/>
        </w:rPr>
      </w:pPr>
      <w:r>
        <w:rPr>
          <w:rFonts w:hint="eastAsia" w:asciiTheme="minorEastAsia" w:hAnsiTheme="minorEastAsia" w:eastAsiaTheme="minorEastAsia"/>
        </w:rPr>
        <w:t>数据导出：根据约定的文件格式要求，如</w:t>
      </w:r>
      <w:r>
        <w:rPr>
          <w:rFonts w:asciiTheme="minorEastAsia" w:hAnsiTheme="minorEastAsia" w:eastAsiaTheme="minorEastAsia"/>
        </w:rPr>
        <w:t>CSV</w:t>
      </w:r>
      <w:r>
        <w:rPr>
          <w:rFonts w:hint="eastAsia" w:asciiTheme="minorEastAsia" w:hAnsiTheme="minorEastAsia" w:eastAsiaTheme="minorEastAsia"/>
        </w:rPr>
        <w:t>、</w:t>
      </w:r>
      <w:r>
        <w:rPr>
          <w:rFonts w:asciiTheme="minorEastAsia" w:hAnsiTheme="minorEastAsia" w:eastAsiaTheme="minorEastAsia"/>
        </w:rPr>
        <w:t>Excel</w:t>
      </w:r>
      <w:r>
        <w:rPr>
          <w:rFonts w:hint="eastAsia" w:asciiTheme="minorEastAsia" w:hAnsiTheme="minorEastAsia" w:eastAsiaTheme="minorEastAsia"/>
        </w:rPr>
        <w:t>等，自动生成特定数据文件，这些文件能够被第三方统计分析软件所引用。</w:t>
      </w:r>
    </w:p>
    <w:p>
      <w:pPr>
        <w:pStyle w:val="19"/>
        <w:numPr>
          <w:ilvl w:val="0"/>
          <w:numId w:val="18"/>
        </w:numPr>
        <w:spacing w:line="360" w:lineRule="auto"/>
        <w:ind w:firstLineChars="0"/>
        <w:rPr>
          <w:rFonts w:asciiTheme="minorEastAsia" w:hAnsiTheme="minorEastAsia" w:eastAsiaTheme="minorEastAsia"/>
        </w:rPr>
      </w:pPr>
      <w:r>
        <w:rPr>
          <w:rFonts w:hint="eastAsia" w:asciiTheme="minorEastAsia" w:hAnsiTheme="minorEastAsia" w:eastAsiaTheme="minorEastAsia"/>
        </w:rPr>
        <w:t>数据交换：支持按照特定的数据接口标准进行数据交换，包括外部数据的引入和对外数据的提供。</w:t>
      </w:r>
    </w:p>
    <w:p>
      <w:pPr>
        <w:pStyle w:val="3"/>
        <w:spacing w:line="360" w:lineRule="auto"/>
        <w:ind w:leftChars="0" w:firstLine="420"/>
        <w:rPr>
          <w:rFonts w:asciiTheme="minorEastAsia" w:hAnsiTheme="minorEastAsia" w:eastAsiaTheme="minorEastAsia"/>
        </w:rPr>
      </w:pPr>
      <w:r>
        <w:rPr>
          <w:rFonts w:hint="eastAsia" w:asciiTheme="minorEastAsia" w:hAnsiTheme="minorEastAsia" w:eastAsiaTheme="minorEastAsia"/>
        </w:rPr>
        <w:t>（二）运维服务</w:t>
      </w:r>
    </w:p>
    <w:p>
      <w:pPr>
        <w:pStyle w:val="19"/>
        <w:numPr>
          <w:ilvl w:val="0"/>
          <w:numId w:val="19"/>
        </w:numPr>
        <w:spacing w:line="360" w:lineRule="auto"/>
        <w:ind w:firstLineChars="0"/>
        <w:rPr>
          <w:rFonts w:asciiTheme="minorEastAsia" w:hAnsiTheme="minorEastAsia" w:eastAsiaTheme="minorEastAsia"/>
        </w:rPr>
      </w:pPr>
      <w:r>
        <w:rPr>
          <w:rFonts w:hint="eastAsia" w:asciiTheme="minorEastAsia" w:hAnsiTheme="minorEastAsia" w:eastAsiaTheme="minorEastAsia"/>
        </w:rPr>
        <w:t>服务商成立专门的项目组开展工作，同时应指派专人分别负责日常现场运维，功能调整修改和接口开发，按时完成工作内容。</w:t>
      </w:r>
    </w:p>
    <w:p>
      <w:pPr>
        <w:pStyle w:val="19"/>
        <w:numPr>
          <w:ilvl w:val="0"/>
          <w:numId w:val="19"/>
        </w:numPr>
        <w:spacing w:line="360" w:lineRule="auto"/>
        <w:ind w:firstLineChars="0"/>
        <w:rPr>
          <w:rFonts w:asciiTheme="minorEastAsia" w:hAnsiTheme="minorEastAsia" w:eastAsiaTheme="minorEastAsia"/>
        </w:rPr>
      </w:pPr>
      <w:r>
        <w:rPr>
          <w:rFonts w:hint="eastAsia" w:asciiTheme="minorEastAsia" w:hAnsiTheme="minorEastAsia" w:eastAsiaTheme="minorEastAsia"/>
        </w:rPr>
        <w:t>以现场服务为主，其它电话、邮件指导、远程维护、技术交流方式不限。</w:t>
      </w:r>
    </w:p>
    <w:p>
      <w:pPr>
        <w:pStyle w:val="19"/>
        <w:numPr>
          <w:ilvl w:val="0"/>
          <w:numId w:val="19"/>
        </w:numPr>
        <w:spacing w:line="360" w:lineRule="auto"/>
        <w:ind w:firstLineChars="0"/>
        <w:rPr>
          <w:rFonts w:asciiTheme="minorEastAsia" w:hAnsiTheme="minorEastAsia" w:eastAsiaTheme="minorEastAsia"/>
        </w:rPr>
      </w:pPr>
      <w:r>
        <w:rPr>
          <w:rFonts w:hint="eastAsia" w:asciiTheme="minorEastAsia" w:hAnsiTheme="minorEastAsia" w:eastAsiaTheme="minorEastAsia"/>
        </w:rPr>
        <w:t>服务商需按照院方要求提供具备专业技能的1位系统运维人员专人进行运维服务。系统运维人员要求具备三年或三年以上的系统开发或维护工作经验，能较快处理系统在运行中的故障问题。</w:t>
      </w:r>
    </w:p>
    <w:p>
      <w:pPr>
        <w:pStyle w:val="19"/>
        <w:numPr>
          <w:ilvl w:val="0"/>
          <w:numId w:val="19"/>
        </w:numPr>
        <w:spacing w:line="360" w:lineRule="auto"/>
        <w:ind w:firstLineChars="0"/>
        <w:rPr>
          <w:rFonts w:asciiTheme="minorEastAsia" w:hAnsiTheme="minorEastAsia" w:eastAsiaTheme="minorEastAsia"/>
        </w:rPr>
      </w:pPr>
      <w:r>
        <w:rPr>
          <w:rFonts w:hint="eastAsia" w:asciiTheme="minorEastAsia" w:hAnsiTheme="minorEastAsia" w:eastAsiaTheme="minorEastAsia"/>
        </w:rPr>
        <w:t>服务商需向院方提供驻场人员名单、具体每位驻点人员负责维护的系统范围。驻场服务人员原则上不得随意更换，如需更换须征求院方管理部门同意。</w:t>
      </w:r>
    </w:p>
    <w:p>
      <w:pPr>
        <w:pStyle w:val="19"/>
        <w:numPr>
          <w:ilvl w:val="0"/>
          <w:numId w:val="19"/>
        </w:numPr>
        <w:spacing w:line="360" w:lineRule="auto"/>
        <w:ind w:firstLineChars="0"/>
        <w:rPr>
          <w:rFonts w:asciiTheme="minorEastAsia" w:hAnsiTheme="minorEastAsia" w:eastAsiaTheme="minorEastAsia"/>
        </w:rPr>
      </w:pPr>
      <w:r>
        <w:rPr>
          <w:rFonts w:hint="eastAsia" w:asciiTheme="minorEastAsia" w:hAnsiTheme="minorEastAsia" w:eastAsiaTheme="minorEastAsia"/>
        </w:rPr>
        <w:t>专人服务地点：广东省人民医院院方指定地点。</w:t>
      </w:r>
    </w:p>
    <w:p>
      <w:pPr>
        <w:pStyle w:val="19"/>
        <w:numPr>
          <w:ilvl w:val="0"/>
          <w:numId w:val="19"/>
        </w:numPr>
        <w:spacing w:line="360" w:lineRule="auto"/>
        <w:ind w:firstLineChars="0"/>
        <w:rPr>
          <w:rFonts w:asciiTheme="minorEastAsia" w:hAnsiTheme="minorEastAsia" w:eastAsiaTheme="minorEastAsia"/>
        </w:rPr>
      </w:pPr>
      <w:r>
        <w:rPr>
          <w:rFonts w:hint="eastAsia" w:asciiTheme="minorEastAsia" w:hAnsiTheme="minorEastAsia" w:eastAsiaTheme="minorEastAsia"/>
        </w:rPr>
        <w:t>服务人员工作时应注意言行举止，要求佩戴工作证。</w:t>
      </w:r>
    </w:p>
    <w:p>
      <w:pPr>
        <w:pStyle w:val="19"/>
        <w:numPr>
          <w:ilvl w:val="0"/>
          <w:numId w:val="19"/>
        </w:numPr>
        <w:spacing w:line="360" w:lineRule="auto"/>
        <w:ind w:firstLineChars="0"/>
        <w:rPr>
          <w:rFonts w:asciiTheme="minorEastAsia" w:hAnsiTheme="minorEastAsia" w:eastAsiaTheme="minorEastAsia"/>
        </w:rPr>
      </w:pPr>
      <w:r>
        <w:rPr>
          <w:rFonts w:hint="eastAsia" w:asciiTheme="minorEastAsia" w:hAnsiTheme="minorEastAsia" w:eastAsiaTheme="minorEastAsia"/>
        </w:rPr>
        <w:t>服务人员休假超过1天时服务商安排其他人员补充并提前告知院方。</w:t>
      </w:r>
    </w:p>
    <w:p>
      <w:pPr>
        <w:pStyle w:val="19"/>
        <w:numPr>
          <w:ilvl w:val="0"/>
          <w:numId w:val="19"/>
        </w:numPr>
        <w:spacing w:line="360" w:lineRule="auto"/>
        <w:ind w:firstLineChars="0"/>
        <w:rPr>
          <w:rFonts w:asciiTheme="minorEastAsia" w:hAnsiTheme="minorEastAsia" w:eastAsiaTheme="minorEastAsia"/>
        </w:rPr>
      </w:pPr>
      <w:r>
        <w:rPr>
          <w:rFonts w:hint="eastAsia" w:asciiTheme="minorEastAsia" w:hAnsiTheme="minorEastAsia" w:eastAsiaTheme="minorEastAsia"/>
        </w:rPr>
        <w:t>服务人员需登记记录故障及处理情况，定期交院方项目负责人确认；服务商在每月5日前完成上月维护服务记录整理、提交院方信息管理处。</w:t>
      </w:r>
    </w:p>
    <w:p>
      <w:pPr>
        <w:pStyle w:val="19"/>
        <w:numPr>
          <w:ilvl w:val="0"/>
          <w:numId w:val="19"/>
        </w:numPr>
        <w:spacing w:line="360" w:lineRule="auto"/>
        <w:ind w:firstLineChars="0"/>
        <w:rPr>
          <w:rFonts w:asciiTheme="minorEastAsia" w:hAnsiTheme="minorEastAsia" w:eastAsiaTheme="minorEastAsia"/>
        </w:rPr>
      </w:pPr>
      <w:r>
        <w:rPr>
          <w:rFonts w:hint="eastAsia" w:asciiTheme="minorEastAsia" w:hAnsiTheme="minorEastAsia" w:eastAsiaTheme="minorEastAsia"/>
        </w:rPr>
        <w:t>服务商需在每月25日前需提供“节假日期间值班安排”给院方信息管理处。</w:t>
      </w:r>
    </w:p>
    <w:p>
      <w:pPr>
        <w:pStyle w:val="19"/>
        <w:numPr>
          <w:ilvl w:val="0"/>
          <w:numId w:val="19"/>
        </w:numPr>
        <w:spacing w:line="360" w:lineRule="auto"/>
        <w:ind w:firstLineChars="0"/>
        <w:rPr>
          <w:rFonts w:asciiTheme="minorEastAsia" w:hAnsiTheme="minorEastAsia" w:eastAsiaTheme="minorEastAsia"/>
        </w:rPr>
      </w:pPr>
      <w:r>
        <w:rPr>
          <w:rFonts w:hint="eastAsia" w:asciiTheme="minorEastAsia" w:hAnsiTheme="minorEastAsia" w:eastAsiaTheme="minorEastAsia"/>
        </w:rPr>
        <w:t>服务商需配合院方信息管理处定期走访医院重点用户部门，与用户进行现场交流，并解答用户问题。</w:t>
      </w:r>
    </w:p>
    <w:p>
      <w:pPr>
        <w:pStyle w:val="19"/>
        <w:numPr>
          <w:ilvl w:val="0"/>
          <w:numId w:val="19"/>
        </w:numPr>
        <w:spacing w:line="360" w:lineRule="auto"/>
        <w:ind w:firstLineChars="0"/>
        <w:rPr>
          <w:rFonts w:asciiTheme="minorEastAsia" w:hAnsiTheme="minorEastAsia" w:eastAsiaTheme="minorEastAsia"/>
        </w:rPr>
      </w:pPr>
      <w:r>
        <w:rPr>
          <w:rFonts w:hint="eastAsia" w:asciiTheme="minorEastAsia" w:hAnsiTheme="minorEastAsia" w:eastAsiaTheme="minorEastAsia"/>
        </w:rPr>
        <w:t>服务商应对服务质量予以保证，院方有权根据院方、服务商双方协商认可的服务评级方案（见附件1履约评分情况），每季度对</w:t>
      </w:r>
      <w:bookmarkStart w:id="4" w:name="_GoBack"/>
      <w:bookmarkEnd w:id="4"/>
      <w:r>
        <w:rPr>
          <w:rFonts w:hint="eastAsia" w:asciiTheme="minorEastAsia" w:hAnsiTheme="minorEastAsia" w:eastAsiaTheme="minorEastAsia"/>
        </w:rPr>
        <w:t>维护的服务质量及每次版本实施的效果进行评价考核。评价考核结果与运维年度维护验收挂钩。</w:t>
      </w:r>
    </w:p>
    <w:p>
      <w:pPr>
        <w:pStyle w:val="2"/>
        <w:numPr>
          <w:ilvl w:val="0"/>
          <w:numId w:val="0"/>
        </w:numPr>
        <w:ind w:leftChars="0"/>
        <w:rPr>
          <w:rFonts w:hint="eastAsia" w:ascii="宋体" w:hAnsi="宋体" w:eastAsia="宋体" w:cs="宋体"/>
        </w:rPr>
      </w:pPr>
      <w:r>
        <w:rPr>
          <w:rFonts w:hint="eastAsia" w:cs="宋体"/>
          <w:lang w:val="en-US" w:eastAsia="zh-CN"/>
        </w:rPr>
        <w:t>四、</w:t>
      </w:r>
      <w:r>
        <w:rPr>
          <w:rFonts w:hint="eastAsia" w:ascii="宋体" w:hAnsi="宋体" w:eastAsia="宋体" w:cs="宋体"/>
        </w:rPr>
        <w:t>项目工期及实施要求</w:t>
      </w:r>
    </w:p>
    <w:p>
      <w:pPr>
        <w:pStyle w:val="10"/>
        <w:numPr>
          <w:ilvl w:val="0"/>
          <w:numId w:val="20"/>
        </w:numPr>
        <w:spacing w:before="156"/>
        <w:ind w:left="-60" w:leftChars="0" w:firstLine="480" w:firstLineChars="0"/>
        <w:jc w:val="left"/>
        <w:rPr>
          <w:rFonts w:hint="eastAsia" w:ascii="宋体" w:hAnsi="宋体" w:eastAsia="宋体" w:cs="宋体"/>
          <w:b/>
          <w:bCs/>
          <w:sz w:val="24"/>
          <w:szCs w:val="24"/>
        </w:rPr>
      </w:pPr>
      <w:r>
        <w:rPr>
          <w:rFonts w:hint="eastAsia" w:ascii="宋体" w:hAnsi="宋体" w:eastAsia="宋体" w:cs="宋体"/>
          <w:b/>
          <w:bCs/>
          <w:sz w:val="24"/>
          <w:szCs w:val="24"/>
        </w:rPr>
        <w:t>项目工期</w:t>
      </w:r>
    </w:p>
    <w:p>
      <w:pPr>
        <w:numPr>
          <w:ilvl w:val="0"/>
          <w:numId w:val="21"/>
        </w:numPr>
        <w:tabs>
          <w:tab w:val="left" w:pos="420"/>
        </w:tabs>
        <w:spacing w:before="156"/>
        <w:ind w:left="420" w:firstLine="480" w:firstLineChars="200"/>
        <w:outlineLvl w:val="0"/>
        <w:rPr>
          <w:rFonts w:hint="eastAsia" w:ascii="宋体" w:hAnsi="宋体" w:eastAsia="宋体" w:cs="宋体"/>
          <w:sz w:val="24"/>
          <w:szCs w:val="24"/>
        </w:rPr>
      </w:pPr>
      <w:r>
        <w:rPr>
          <w:rFonts w:hint="eastAsia" w:ascii="宋体" w:hAnsi="宋体" w:eastAsia="宋体" w:cs="宋体"/>
          <w:sz w:val="24"/>
          <w:szCs w:val="24"/>
        </w:rPr>
        <w:t>自合同签订日起，</w:t>
      </w:r>
      <w:r>
        <w:rPr>
          <w:rFonts w:hint="eastAsia" w:ascii="宋体" w:hAnsi="宋体" w:eastAsia="宋体" w:cs="宋体"/>
          <w:sz w:val="24"/>
          <w:szCs w:val="24"/>
          <w:lang w:eastAsia="zh-CN"/>
        </w:rPr>
        <w:t>服务方</w:t>
      </w:r>
      <w:r>
        <w:rPr>
          <w:rFonts w:hint="eastAsia" w:ascii="宋体" w:hAnsi="宋体" w:eastAsia="宋体" w:cs="宋体"/>
          <w:sz w:val="24"/>
          <w:szCs w:val="24"/>
        </w:rPr>
        <w:t>须在__</w:t>
      </w:r>
      <w:r>
        <w:rPr>
          <w:rFonts w:hint="eastAsia" w:ascii="宋体" w:hAnsi="宋体" w:eastAsia="宋体" w:cs="宋体"/>
          <w:sz w:val="24"/>
          <w:szCs w:val="24"/>
          <w:lang w:val="en-US" w:eastAsia="zh-CN"/>
        </w:rPr>
        <w:t>15</w:t>
      </w:r>
      <w:r>
        <w:rPr>
          <w:rFonts w:hint="eastAsia" w:ascii="宋体" w:hAnsi="宋体" w:eastAsia="宋体" w:cs="宋体"/>
          <w:sz w:val="24"/>
          <w:szCs w:val="24"/>
        </w:rPr>
        <w:t>___个工作日内对《用户需求说明书》进行补充、确认或提出意见。</w:t>
      </w:r>
    </w:p>
    <w:p>
      <w:pPr>
        <w:numPr>
          <w:ilvl w:val="0"/>
          <w:numId w:val="21"/>
        </w:numPr>
        <w:spacing w:before="156"/>
        <w:ind w:left="420" w:firstLine="480" w:firstLineChars="200"/>
        <w:outlineLvl w:val="0"/>
        <w:rPr>
          <w:rFonts w:hint="eastAsia" w:ascii="宋体" w:hAnsi="宋体" w:eastAsia="宋体" w:cs="宋体"/>
          <w:sz w:val="24"/>
          <w:szCs w:val="24"/>
        </w:rPr>
      </w:pPr>
      <w:r>
        <w:rPr>
          <w:rFonts w:hint="eastAsia" w:ascii="宋体" w:hAnsi="宋体" w:eastAsia="宋体" w:cs="宋体"/>
          <w:sz w:val="24"/>
          <w:szCs w:val="24"/>
          <w:lang w:eastAsia="zh-CN"/>
        </w:rPr>
        <w:t>服务方</w:t>
      </w:r>
      <w:r>
        <w:rPr>
          <w:rFonts w:hint="eastAsia" w:ascii="宋体" w:hAnsi="宋体" w:eastAsia="宋体" w:cs="宋体"/>
          <w:sz w:val="24"/>
          <w:szCs w:val="24"/>
        </w:rPr>
        <w:t>对《用户需求说明书》提出意见后，</w:t>
      </w:r>
      <w:r>
        <w:rPr>
          <w:rFonts w:hint="eastAsia" w:ascii="宋体" w:hAnsi="宋体" w:eastAsia="宋体" w:cs="宋体"/>
          <w:sz w:val="24"/>
          <w:szCs w:val="24"/>
          <w:lang w:eastAsia="zh-CN"/>
        </w:rPr>
        <w:t>院方</w:t>
      </w:r>
      <w:r>
        <w:rPr>
          <w:rFonts w:hint="eastAsia" w:ascii="宋体" w:hAnsi="宋体" w:eastAsia="宋体" w:cs="宋体"/>
          <w:sz w:val="24"/>
          <w:szCs w:val="24"/>
        </w:rPr>
        <w:t>组织进行用户需求调研，</w:t>
      </w:r>
      <w:r>
        <w:rPr>
          <w:rFonts w:hint="eastAsia" w:ascii="宋体" w:hAnsi="宋体" w:eastAsia="宋体" w:cs="宋体"/>
          <w:sz w:val="24"/>
          <w:szCs w:val="24"/>
          <w:lang w:eastAsia="zh-CN"/>
        </w:rPr>
        <w:t>服务方</w:t>
      </w:r>
      <w:r>
        <w:rPr>
          <w:rFonts w:hint="eastAsia" w:ascii="宋体" w:hAnsi="宋体" w:eastAsia="宋体" w:cs="宋体"/>
          <w:sz w:val="24"/>
          <w:szCs w:val="24"/>
        </w:rPr>
        <w:t>根据调研情况提供业务调研记录、现况分析、功能设计及说明，甲、乙双方共同整理并在</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5</w:t>
      </w:r>
      <w:r>
        <w:rPr>
          <w:rFonts w:hint="eastAsia" w:ascii="宋体" w:hAnsi="宋体" w:eastAsia="宋体" w:cs="宋体"/>
          <w:sz w:val="24"/>
          <w:szCs w:val="24"/>
          <w:u w:val="single"/>
        </w:rPr>
        <w:t xml:space="preserve">  </w:t>
      </w:r>
      <w:r>
        <w:rPr>
          <w:rFonts w:hint="eastAsia" w:ascii="宋体" w:hAnsi="宋体" w:eastAsia="宋体" w:cs="宋体"/>
          <w:sz w:val="24"/>
          <w:szCs w:val="24"/>
        </w:rPr>
        <w:t>个工作日内确认《需求规格说明书》。</w:t>
      </w:r>
    </w:p>
    <w:p>
      <w:pPr>
        <w:numPr>
          <w:ilvl w:val="0"/>
          <w:numId w:val="21"/>
        </w:numPr>
        <w:spacing w:before="156"/>
        <w:ind w:left="420" w:firstLine="480" w:firstLineChars="200"/>
        <w:outlineLvl w:val="0"/>
        <w:rPr>
          <w:rFonts w:hint="eastAsia" w:ascii="宋体" w:hAnsi="宋体" w:eastAsia="宋体" w:cs="宋体"/>
          <w:sz w:val="24"/>
          <w:szCs w:val="24"/>
        </w:rPr>
      </w:pPr>
      <w:r>
        <w:rPr>
          <w:rFonts w:hint="eastAsia" w:ascii="宋体" w:hAnsi="宋体" w:eastAsia="宋体" w:cs="宋体"/>
          <w:sz w:val="24"/>
          <w:szCs w:val="24"/>
          <w:lang w:eastAsia="zh-CN"/>
        </w:rPr>
        <w:t>项目建设周期</w:t>
      </w:r>
      <w:r>
        <w:rPr>
          <w:rFonts w:hint="eastAsia" w:ascii="宋体" w:hAnsi="宋体" w:eastAsia="宋体" w:cs="宋体"/>
          <w:sz w:val="24"/>
          <w:szCs w:val="24"/>
          <w:lang w:val="en-US" w:eastAsia="zh-CN"/>
        </w:rPr>
        <w:t>16个月</w:t>
      </w:r>
      <w:r>
        <w:rPr>
          <w:rFonts w:hint="eastAsia" w:ascii="宋体" w:hAnsi="宋体" w:eastAsia="宋体" w:cs="宋体"/>
          <w:sz w:val="24"/>
          <w:szCs w:val="24"/>
        </w:rPr>
        <w:t>。</w:t>
      </w:r>
    </w:p>
    <w:p>
      <w:pPr>
        <w:numPr>
          <w:ilvl w:val="0"/>
          <w:numId w:val="21"/>
        </w:numPr>
        <w:spacing w:before="156"/>
        <w:ind w:left="420" w:firstLine="480" w:firstLineChars="200"/>
        <w:outlineLvl w:val="0"/>
        <w:rPr>
          <w:rFonts w:hint="eastAsia" w:ascii="宋体" w:hAnsi="宋体" w:eastAsia="宋体" w:cs="宋体"/>
          <w:sz w:val="24"/>
          <w:szCs w:val="24"/>
        </w:rPr>
      </w:pPr>
      <w:r>
        <w:rPr>
          <w:rFonts w:hint="eastAsia" w:ascii="宋体" w:hAnsi="宋体" w:eastAsia="宋体" w:cs="宋体"/>
          <w:sz w:val="24"/>
          <w:szCs w:val="24"/>
          <w:lang w:eastAsia="zh-CN"/>
        </w:rPr>
        <w:t>服务方</w:t>
      </w:r>
      <w:r>
        <w:rPr>
          <w:rFonts w:hint="eastAsia" w:ascii="宋体" w:hAnsi="宋体" w:eastAsia="宋体" w:cs="宋体"/>
          <w:sz w:val="24"/>
          <w:szCs w:val="24"/>
        </w:rPr>
        <w:t>完成软件实施，并根据</w:t>
      </w:r>
      <w:r>
        <w:rPr>
          <w:rFonts w:hint="eastAsia" w:ascii="宋体" w:hAnsi="宋体" w:eastAsia="宋体" w:cs="宋体"/>
          <w:sz w:val="24"/>
          <w:szCs w:val="24"/>
          <w:lang w:eastAsia="zh-CN"/>
        </w:rPr>
        <w:t>院方</w:t>
      </w:r>
      <w:r>
        <w:rPr>
          <w:rFonts w:hint="eastAsia" w:ascii="宋体" w:hAnsi="宋体" w:eastAsia="宋体" w:cs="宋体"/>
          <w:sz w:val="24"/>
          <w:szCs w:val="24"/>
        </w:rPr>
        <w:t>提出的新需求完成修改后，系统运行___</w:t>
      </w:r>
      <w:r>
        <w:rPr>
          <w:rFonts w:hint="eastAsia" w:ascii="宋体" w:hAnsi="宋体" w:eastAsia="宋体" w:cs="宋体"/>
          <w:sz w:val="24"/>
          <w:szCs w:val="24"/>
          <w:lang w:val="en-US" w:eastAsia="zh-CN"/>
        </w:rPr>
        <w:t>3</w:t>
      </w:r>
      <w:r>
        <w:rPr>
          <w:rFonts w:hint="eastAsia" w:ascii="宋体" w:hAnsi="宋体" w:eastAsia="宋体" w:cs="宋体"/>
          <w:sz w:val="24"/>
          <w:szCs w:val="24"/>
        </w:rPr>
        <w:t>__个月以上无软件故障出现，则由</w:t>
      </w:r>
      <w:r>
        <w:rPr>
          <w:rFonts w:hint="eastAsia" w:ascii="宋体" w:hAnsi="宋体" w:eastAsia="宋体" w:cs="宋体"/>
          <w:sz w:val="24"/>
          <w:szCs w:val="24"/>
          <w:lang w:eastAsia="zh-CN"/>
        </w:rPr>
        <w:t>服务方</w:t>
      </w:r>
      <w:r>
        <w:rPr>
          <w:rFonts w:hint="eastAsia" w:ascii="宋体" w:hAnsi="宋体" w:eastAsia="宋体" w:cs="宋体"/>
          <w:sz w:val="24"/>
          <w:szCs w:val="24"/>
        </w:rPr>
        <w:t>向</w:t>
      </w:r>
      <w:r>
        <w:rPr>
          <w:rFonts w:hint="eastAsia" w:ascii="宋体" w:hAnsi="宋体" w:eastAsia="宋体" w:cs="宋体"/>
          <w:sz w:val="24"/>
          <w:szCs w:val="24"/>
          <w:lang w:eastAsia="zh-CN"/>
        </w:rPr>
        <w:t>院方</w:t>
      </w:r>
      <w:r>
        <w:rPr>
          <w:rFonts w:hint="eastAsia" w:ascii="宋体" w:hAnsi="宋体" w:eastAsia="宋体" w:cs="宋体"/>
          <w:sz w:val="24"/>
          <w:szCs w:val="24"/>
        </w:rPr>
        <w:t>申请验收。</w:t>
      </w:r>
    </w:p>
    <w:p>
      <w:pPr>
        <w:numPr>
          <w:ilvl w:val="0"/>
          <w:numId w:val="21"/>
        </w:numPr>
        <w:spacing w:before="156"/>
        <w:ind w:left="420" w:firstLine="480" w:firstLineChars="200"/>
        <w:outlineLvl w:val="0"/>
        <w:rPr>
          <w:rFonts w:hint="eastAsia" w:ascii="宋体" w:hAnsi="宋体" w:eastAsia="宋体" w:cs="宋体"/>
          <w:sz w:val="24"/>
          <w:szCs w:val="24"/>
        </w:rPr>
      </w:pPr>
      <w:r>
        <w:rPr>
          <w:rFonts w:hint="eastAsia" w:ascii="宋体" w:hAnsi="宋体" w:eastAsia="宋体" w:cs="宋体"/>
          <w:sz w:val="24"/>
          <w:szCs w:val="24"/>
        </w:rPr>
        <w:t>以上各阶段</w:t>
      </w:r>
      <w:r>
        <w:rPr>
          <w:rFonts w:hint="eastAsia" w:ascii="宋体" w:hAnsi="宋体" w:eastAsia="宋体" w:cs="宋体"/>
          <w:sz w:val="24"/>
          <w:szCs w:val="24"/>
          <w:lang w:eastAsia="zh-CN"/>
        </w:rPr>
        <w:t>服务方</w:t>
      </w:r>
      <w:r>
        <w:rPr>
          <w:rFonts w:hint="eastAsia" w:ascii="宋体" w:hAnsi="宋体" w:eastAsia="宋体" w:cs="宋体"/>
          <w:sz w:val="24"/>
          <w:szCs w:val="24"/>
        </w:rPr>
        <w:t>如因提交合同标的质量问题而致工期延误则由</w:t>
      </w:r>
      <w:r>
        <w:rPr>
          <w:rFonts w:hint="eastAsia" w:ascii="宋体" w:hAnsi="宋体" w:eastAsia="宋体" w:cs="宋体"/>
          <w:sz w:val="24"/>
          <w:szCs w:val="24"/>
          <w:lang w:eastAsia="zh-CN"/>
        </w:rPr>
        <w:t>服务方</w:t>
      </w:r>
      <w:r>
        <w:rPr>
          <w:rFonts w:hint="eastAsia" w:ascii="宋体" w:hAnsi="宋体" w:eastAsia="宋体" w:cs="宋体"/>
          <w:sz w:val="24"/>
          <w:szCs w:val="24"/>
        </w:rPr>
        <w:t>对延误工期承担责任</w:t>
      </w:r>
      <w:r>
        <w:rPr>
          <w:rFonts w:hint="eastAsia" w:ascii="宋体" w:hAnsi="宋体" w:eastAsia="宋体" w:cs="宋体"/>
          <w:sz w:val="24"/>
          <w:szCs w:val="24"/>
          <w:lang w:eastAsia="zh-CN"/>
        </w:rPr>
        <w:t>；</w:t>
      </w:r>
      <w:r>
        <w:rPr>
          <w:rFonts w:hint="eastAsia" w:ascii="宋体" w:hAnsi="宋体" w:eastAsia="宋体" w:cs="宋体"/>
          <w:sz w:val="24"/>
          <w:szCs w:val="24"/>
        </w:rPr>
        <w:t>如因</w:t>
      </w:r>
      <w:r>
        <w:rPr>
          <w:rFonts w:hint="eastAsia" w:ascii="宋体" w:hAnsi="宋体" w:eastAsia="宋体" w:cs="宋体"/>
          <w:sz w:val="24"/>
          <w:szCs w:val="24"/>
          <w:lang w:eastAsia="zh-CN"/>
        </w:rPr>
        <w:t>院方</w:t>
      </w:r>
      <w:r>
        <w:rPr>
          <w:rFonts w:hint="eastAsia" w:ascii="宋体" w:hAnsi="宋体" w:eastAsia="宋体" w:cs="宋体"/>
          <w:sz w:val="24"/>
          <w:szCs w:val="24"/>
        </w:rPr>
        <w:t>未按约定提供支持与配合工作致工期延误则由</w:t>
      </w:r>
      <w:r>
        <w:rPr>
          <w:rFonts w:hint="eastAsia" w:ascii="宋体" w:hAnsi="宋体" w:eastAsia="宋体" w:cs="宋体"/>
          <w:sz w:val="24"/>
          <w:szCs w:val="24"/>
          <w:lang w:eastAsia="zh-CN"/>
        </w:rPr>
        <w:t>院方</w:t>
      </w:r>
      <w:r>
        <w:rPr>
          <w:rFonts w:hint="eastAsia" w:ascii="宋体" w:hAnsi="宋体" w:eastAsia="宋体" w:cs="宋体"/>
          <w:sz w:val="24"/>
          <w:szCs w:val="24"/>
        </w:rPr>
        <w:t>对延误工期承担责任。</w:t>
      </w:r>
    </w:p>
    <w:p>
      <w:pPr>
        <w:spacing w:before="156"/>
        <w:ind w:left="566" w:firstLine="0" w:firstLineChars="0"/>
        <w:rPr>
          <w:rFonts w:hint="eastAsia" w:ascii="宋体" w:hAnsi="宋体" w:eastAsia="宋体" w:cs="宋体"/>
          <w:sz w:val="24"/>
          <w:szCs w:val="24"/>
        </w:rPr>
      </w:pPr>
    </w:p>
    <w:p>
      <w:pPr>
        <w:pStyle w:val="2"/>
        <w:keepNext w:val="0"/>
        <w:keepLines w:val="0"/>
        <w:numPr>
          <w:ilvl w:val="0"/>
          <w:numId w:val="22"/>
        </w:numPr>
        <w:spacing w:before="156" w:after="0"/>
        <w:ind w:left="0" w:firstLine="425" w:firstLineChars="0"/>
        <w:jc w:val="center"/>
        <w:rPr>
          <w:rFonts w:hint="eastAsia" w:ascii="宋体" w:hAnsi="宋体" w:eastAsia="宋体" w:cs="宋体"/>
          <w:sz w:val="28"/>
          <w:szCs w:val="28"/>
        </w:rPr>
      </w:pPr>
      <w:r>
        <w:rPr>
          <w:rFonts w:hint="eastAsia" w:ascii="宋体" w:hAnsi="宋体" w:eastAsia="宋体" w:cs="宋体"/>
          <w:sz w:val="28"/>
          <w:szCs w:val="28"/>
        </w:rPr>
        <w:t xml:space="preserve">  项目质量</w:t>
      </w:r>
    </w:p>
    <w:p>
      <w:pPr>
        <w:spacing w:before="156"/>
        <w:ind w:left="480" w:leftChars="200" w:firstLine="480"/>
        <w:outlineLvl w:val="0"/>
        <w:rPr>
          <w:rFonts w:hint="eastAsia" w:ascii="宋体" w:hAnsi="宋体" w:eastAsia="宋体" w:cs="宋体"/>
          <w:sz w:val="24"/>
          <w:szCs w:val="24"/>
          <w:lang w:eastAsia="zh-CN"/>
        </w:rPr>
      </w:pPr>
      <w:r>
        <w:rPr>
          <w:rFonts w:hint="eastAsia" w:ascii="宋体" w:hAnsi="宋体" w:eastAsia="宋体" w:cs="宋体"/>
          <w:sz w:val="24"/>
          <w:szCs w:val="24"/>
          <w:lang w:eastAsia="zh-CN"/>
        </w:rPr>
        <w:t>服务方</w:t>
      </w:r>
      <w:r>
        <w:rPr>
          <w:rFonts w:hint="eastAsia" w:ascii="宋体" w:hAnsi="宋体" w:eastAsia="宋体" w:cs="宋体"/>
          <w:sz w:val="24"/>
          <w:szCs w:val="24"/>
        </w:rPr>
        <w:t>提供的软件必须完全符合双方确认的</w:t>
      </w:r>
      <w:bookmarkStart w:id="1" w:name="OLE_LINK1"/>
      <w:bookmarkStart w:id="2" w:name="OLE_LINK2"/>
      <w:r>
        <w:rPr>
          <w:rFonts w:hint="eastAsia" w:ascii="宋体" w:hAnsi="宋体" w:eastAsia="宋体" w:cs="宋体"/>
          <w:sz w:val="24"/>
          <w:szCs w:val="24"/>
        </w:rPr>
        <w:t>《需求规格说明书》中叙述的功能性需求和非功能性需求（包括显式和隐含描述的需求）、</w:t>
      </w:r>
      <w:bookmarkEnd w:id="1"/>
      <w:bookmarkEnd w:id="2"/>
      <w:r>
        <w:rPr>
          <w:rFonts w:hint="eastAsia" w:ascii="宋体" w:hAnsi="宋体" w:eastAsia="宋体" w:cs="宋体"/>
          <w:sz w:val="24"/>
          <w:szCs w:val="24"/>
        </w:rPr>
        <w:t>外部接口，并满足如下质量指标</w:t>
      </w:r>
      <w:r>
        <w:rPr>
          <w:rFonts w:hint="eastAsia" w:ascii="宋体" w:hAnsi="宋体" w:eastAsia="宋体" w:cs="宋体"/>
          <w:sz w:val="24"/>
          <w:szCs w:val="24"/>
          <w:lang w:eastAsia="zh-CN"/>
        </w:rPr>
        <w:t>。</w:t>
      </w:r>
    </w:p>
    <w:p>
      <w:pPr>
        <w:pStyle w:val="10"/>
        <w:numPr>
          <w:ilvl w:val="0"/>
          <w:numId w:val="23"/>
        </w:numPr>
        <w:spacing w:before="156"/>
        <w:ind w:left="480" w:leftChars="200" w:firstLine="482" w:firstLineChars="200"/>
        <w:jc w:val="left"/>
        <w:rPr>
          <w:rFonts w:hint="eastAsia" w:ascii="宋体" w:hAnsi="宋体" w:eastAsia="宋体" w:cs="宋体"/>
          <w:sz w:val="24"/>
          <w:szCs w:val="24"/>
        </w:rPr>
      </w:pPr>
      <w:r>
        <w:rPr>
          <w:rFonts w:hint="eastAsia" w:ascii="宋体" w:hAnsi="宋体" w:eastAsia="宋体" w:cs="宋体"/>
          <w:sz w:val="24"/>
          <w:szCs w:val="24"/>
        </w:rPr>
        <w:t>功能性的质量指标</w:t>
      </w:r>
    </w:p>
    <w:p>
      <w:pPr>
        <w:numPr>
          <w:ilvl w:val="0"/>
          <w:numId w:val="24"/>
        </w:numPr>
        <w:spacing w:before="156"/>
        <w:ind w:left="480" w:leftChars="200" w:firstLine="480" w:firstLineChars="200"/>
        <w:outlineLvl w:val="0"/>
        <w:rPr>
          <w:rFonts w:hint="eastAsia" w:ascii="宋体" w:hAnsi="宋体" w:eastAsia="宋体" w:cs="宋体"/>
          <w:sz w:val="24"/>
          <w:szCs w:val="24"/>
        </w:rPr>
      </w:pPr>
      <w:r>
        <w:rPr>
          <w:rFonts w:hint="eastAsia" w:ascii="宋体" w:hAnsi="宋体" w:eastAsia="宋体" w:cs="宋体"/>
          <w:sz w:val="24"/>
          <w:szCs w:val="24"/>
        </w:rPr>
        <w:t>功能的正确性：软件的功能和《需求规格说明书》中功能需求的描述一致。</w:t>
      </w:r>
    </w:p>
    <w:p>
      <w:pPr>
        <w:numPr>
          <w:ilvl w:val="0"/>
          <w:numId w:val="24"/>
        </w:numPr>
        <w:spacing w:before="156"/>
        <w:ind w:left="480" w:leftChars="200" w:firstLine="480" w:firstLineChars="200"/>
        <w:outlineLvl w:val="0"/>
        <w:rPr>
          <w:rFonts w:hint="eastAsia" w:ascii="宋体" w:hAnsi="宋体" w:eastAsia="宋体" w:cs="宋体"/>
          <w:sz w:val="24"/>
          <w:szCs w:val="24"/>
        </w:rPr>
      </w:pPr>
      <w:r>
        <w:rPr>
          <w:rFonts w:hint="eastAsia" w:ascii="宋体" w:hAnsi="宋体" w:eastAsia="宋体" w:cs="宋体"/>
          <w:sz w:val="24"/>
          <w:szCs w:val="24"/>
        </w:rPr>
        <w:t>功能的准确性：软件产生的结果在精度允许的误差范围内。</w:t>
      </w:r>
    </w:p>
    <w:p>
      <w:pPr>
        <w:numPr>
          <w:ilvl w:val="0"/>
          <w:numId w:val="24"/>
        </w:numPr>
        <w:spacing w:before="156"/>
        <w:ind w:left="480" w:leftChars="200" w:firstLine="480" w:firstLineChars="200"/>
        <w:outlineLvl w:val="0"/>
        <w:rPr>
          <w:rFonts w:hint="eastAsia" w:ascii="宋体" w:hAnsi="宋体" w:eastAsia="宋体" w:cs="宋体"/>
          <w:sz w:val="24"/>
          <w:szCs w:val="24"/>
        </w:rPr>
      </w:pPr>
      <w:r>
        <w:rPr>
          <w:rFonts w:hint="eastAsia" w:ascii="宋体" w:hAnsi="宋体" w:eastAsia="宋体" w:cs="宋体"/>
          <w:sz w:val="24"/>
          <w:szCs w:val="24"/>
        </w:rPr>
        <w:t>功能的完整性：软件所有功能及其定义清楚、可用。</w:t>
      </w:r>
    </w:p>
    <w:p>
      <w:pPr>
        <w:pStyle w:val="10"/>
        <w:numPr>
          <w:ilvl w:val="0"/>
          <w:numId w:val="23"/>
        </w:numPr>
        <w:spacing w:before="156"/>
        <w:ind w:left="478" w:leftChars="199" w:firstLine="482" w:firstLineChars="200"/>
        <w:jc w:val="left"/>
        <w:rPr>
          <w:rFonts w:hint="eastAsia" w:ascii="宋体" w:hAnsi="宋体" w:eastAsia="宋体" w:cs="宋体"/>
          <w:sz w:val="24"/>
          <w:szCs w:val="24"/>
        </w:rPr>
      </w:pPr>
      <w:r>
        <w:rPr>
          <w:rFonts w:hint="eastAsia" w:ascii="宋体" w:hAnsi="宋体" w:eastAsia="宋体" w:cs="宋体"/>
          <w:sz w:val="24"/>
          <w:szCs w:val="24"/>
        </w:rPr>
        <w:t>可靠性的质量指标</w:t>
      </w:r>
    </w:p>
    <w:p>
      <w:pPr>
        <w:numPr>
          <w:ilvl w:val="0"/>
          <w:numId w:val="25"/>
        </w:numPr>
        <w:spacing w:before="156"/>
        <w:ind w:left="478" w:leftChars="199" w:firstLine="480" w:firstLineChars="200"/>
        <w:outlineLvl w:val="0"/>
        <w:rPr>
          <w:rFonts w:hint="eastAsia" w:ascii="宋体" w:hAnsi="宋体" w:eastAsia="宋体" w:cs="宋体"/>
          <w:sz w:val="24"/>
          <w:szCs w:val="24"/>
        </w:rPr>
      </w:pPr>
      <w:r>
        <w:rPr>
          <w:rFonts w:hint="eastAsia" w:ascii="宋体" w:hAnsi="宋体" w:eastAsia="宋体" w:cs="宋体"/>
          <w:sz w:val="24"/>
          <w:szCs w:val="24"/>
        </w:rPr>
        <w:t>成熟性</w:t>
      </w:r>
    </w:p>
    <w:p>
      <w:pPr>
        <w:numPr>
          <w:ilvl w:val="0"/>
          <w:numId w:val="0"/>
        </w:numPr>
        <w:tabs>
          <w:tab w:val="left" w:pos="780"/>
        </w:tabs>
        <w:spacing w:before="156"/>
        <w:ind w:left="480" w:leftChars="200" w:firstLine="420" w:firstLineChars="175"/>
        <w:outlineLvl w:val="0"/>
        <w:rPr>
          <w:rFonts w:hint="eastAsia" w:ascii="宋体" w:hAnsi="宋体" w:eastAsia="宋体" w:cs="宋体"/>
          <w:sz w:val="24"/>
          <w:szCs w:val="24"/>
        </w:rPr>
      </w:pPr>
      <w:r>
        <w:rPr>
          <w:rFonts w:hint="eastAsia" w:ascii="宋体" w:hAnsi="宋体" w:eastAsia="宋体" w:cs="宋体"/>
          <w:sz w:val="24"/>
          <w:szCs w:val="24"/>
        </w:rPr>
        <w:t>严重软件故障出现的概率应小于1次/3月。</w:t>
      </w:r>
    </w:p>
    <w:p>
      <w:pPr>
        <w:numPr>
          <w:ilvl w:val="0"/>
          <w:numId w:val="25"/>
        </w:numPr>
        <w:spacing w:before="156"/>
        <w:ind w:left="478" w:leftChars="199" w:firstLine="480" w:firstLineChars="200"/>
        <w:outlineLvl w:val="0"/>
        <w:rPr>
          <w:rFonts w:hint="eastAsia" w:ascii="宋体" w:hAnsi="宋体" w:eastAsia="宋体" w:cs="宋体"/>
          <w:sz w:val="24"/>
          <w:szCs w:val="24"/>
        </w:rPr>
      </w:pPr>
      <w:r>
        <w:rPr>
          <w:rFonts w:hint="eastAsia" w:ascii="宋体" w:hAnsi="宋体" w:eastAsia="宋体" w:cs="宋体"/>
          <w:sz w:val="24"/>
          <w:szCs w:val="24"/>
        </w:rPr>
        <w:t>容错性</w:t>
      </w:r>
    </w:p>
    <w:p>
      <w:pPr>
        <w:numPr>
          <w:ilvl w:val="0"/>
          <w:numId w:val="0"/>
        </w:numPr>
        <w:tabs>
          <w:tab w:val="left" w:pos="780"/>
        </w:tabs>
        <w:spacing w:before="156"/>
        <w:ind w:left="480" w:leftChars="200" w:firstLine="480" w:firstLineChars="200"/>
        <w:outlineLvl w:val="0"/>
        <w:rPr>
          <w:rFonts w:hint="eastAsia" w:ascii="宋体" w:hAnsi="宋体" w:eastAsia="宋体" w:cs="宋体"/>
          <w:sz w:val="24"/>
          <w:szCs w:val="24"/>
        </w:rPr>
      </w:pPr>
      <w:r>
        <w:rPr>
          <w:rFonts w:hint="eastAsia" w:ascii="宋体" w:hAnsi="宋体" w:eastAsia="宋体" w:cs="宋体"/>
          <w:sz w:val="24"/>
          <w:szCs w:val="24"/>
        </w:rPr>
        <w:t>由于软件故障对软件运作造成的影响应尽可能限制在极小范围，不可造成已保存的数据丢失或改变；局部的错误不可影响其它功能的正常运作。</w:t>
      </w:r>
    </w:p>
    <w:p>
      <w:pPr>
        <w:numPr>
          <w:ilvl w:val="0"/>
          <w:numId w:val="25"/>
        </w:numPr>
        <w:spacing w:before="156"/>
        <w:ind w:left="478" w:leftChars="199" w:firstLine="480" w:firstLineChars="200"/>
        <w:outlineLvl w:val="0"/>
        <w:rPr>
          <w:rFonts w:hint="eastAsia" w:ascii="宋体" w:hAnsi="宋体" w:eastAsia="宋体" w:cs="宋体"/>
          <w:sz w:val="24"/>
          <w:szCs w:val="24"/>
        </w:rPr>
      </w:pPr>
      <w:r>
        <w:rPr>
          <w:rFonts w:hint="eastAsia" w:ascii="宋体" w:hAnsi="宋体" w:eastAsia="宋体" w:cs="宋体"/>
          <w:sz w:val="24"/>
          <w:szCs w:val="24"/>
        </w:rPr>
        <w:t>易恢复性</w:t>
      </w:r>
    </w:p>
    <w:p>
      <w:pPr>
        <w:numPr>
          <w:ilvl w:val="0"/>
          <w:numId w:val="0"/>
        </w:numPr>
        <w:tabs>
          <w:tab w:val="left" w:pos="780"/>
        </w:tabs>
        <w:spacing w:before="156"/>
        <w:ind w:left="499" w:leftChars="208" w:firstLine="480" w:firstLineChars="200"/>
        <w:outlineLvl w:val="0"/>
        <w:rPr>
          <w:rFonts w:hint="eastAsia" w:ascii="宋体" w:hAnsi="宋体" w:eastAsia="宋体" w:cs="宋体"/>
          <w:sz w:val="24"/>
          <w:szCs w:val="24"/>
        </w:rPr>
      </w:pPr>
      <w:r>
        <w:rPr>
          <w:rFonts w:hint="eastAsia" w:ascii="宋体" w:hAnsi="宋体" w:eastAsia="宋体" w:cs="宋体"/>
          <w:sz w:val="24"/>
          <w:szCs w:val="24"/>
        </w:rPr>
        <w:t>当软件的某个功能失效发生时，软件在当前环境下能实现故障自动转移，重新自动配置、继续执行的能力，软件具有自我检测、容错、备份等机制，尽量做到独立于硬件的编码、硬件设备之间的通信协议一致等。</w:t>
      </w:r>
    </w:p>
    <w:p>
      <w:pPr>
        <w:pStyle w:val="10"/>
        <w:numPr>
          <w:ilvl w:val="0"/>
          <w:numId w:val="23"/>
        </w:numPr>
        <w:spacing w:before="156"/>
        <w:ind w:left="478" w:leftChars="199" w:firstLine="482" w:firstLineChars="200"/>
        <w:jc w:val="left"/>
        <w:rPr>
          <w:rFonts w:hint="eastAsia" w:ascii="宋体" w:hAnsi="宋体" w:eastAsia="宋体" w:cs="宋体"/>
          <w:sz w:val="24"/>
          <w:szCs w:val="24"/>
        </w:rPr>
      </w:pPr>
      <w:r>
        <w:rPr>
          <w:rFonts w:hint="eastAsia" w:ascii="宋体" w:hAnsi="宋体" w:eastAsia="宋体" w:cs="宋体"/>
          <w:sz w:val="24"/>
          <w:szCs w:val="24"/>
        </w:rPr>
        <w:t>性能的质量指标</w:t>
      </w:r>
    </w:p>
    <w:p>
      <w:pPr>
        <w:spacing w:before="156"/>
        <w:ind w:left="478" w:leftChars="199"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软件在通信、处理、存储等方面占有很少资源或者对所使用的资源进行了优化并达到</w:t>
      </w:r>
      <w:r>
        <w:rPr>
          <w:rFonts w:hint="eastAsia" w:ascii="宋体" w:hAnsi="宋体" w:eastAsia="宋体" w:cs="宋体"/>
          <w:sz w:val="24"/>
          <w:szCs w:val="24"/>
          <w:lang w:val="en-US" w:eastAsia="zh-CN"/>
        </w:rPr>
        <w:t>所要求的其他性能质量指标</w:t>
      </w:r>
      <w:r>
        <w:rPr>
          <w:rFonts w:hint="eastAsia" w:ascii="宋体" w:hAnsi="宋体" w:eastAsia="宋体" w:cs="宋体"/>
          <w:sz w:val="24"/>
          <w:szCs w:val="24"/>
          <w:lang w:eastAsia="zh-CN"/>
        </w:rPr>
        <w:t>。</w:t>
      </w:r>
    </w:p>
    <w:p>
      <w:pPr>
        <w:numPr>
          <w:ilvl w:val="0"/>
          <w:numId w:val="26"/>
        </w:numPr>
        <w:spacing w:before="156"/>
        <w:ind w:left="478" w:leftChars="199" w:firstLine="480" w:firstLineChars="200"/>
        <w:outlineLvl w:val="0"/>
        <w:rPr>
          <w:rFonts w:hint="eastAsia" w:ascii="宋体" w:hAnsi="宋体" w:eastAsia="宋体" w:cs="宋体"/>
          <w:sz w:val="24"/>
          <w:szCs w:val="24"/>
        </w:rPr>
      </w:pPr>
      <w:r>
        <w:rPr>
          <w:rFonts w:hint="eastAsia" w:ascii="宋体" w:hAnsi="宋体" w:eastAsia="宋体" w:cs="宋体"/>
          <w:sz w:val="24"/>
          <w:szCs w:val="24"/>
        </w:rPr>
        <w:t>响应时间</w:t>
      </w:r>
    </w:p>
    <w:p>
      <w:pPr>
        <w:numPr>
          <w:ilvl w:val="0"/>
          <w:numId w:val="0"/>
        </w:numPr>
        <w:tabs>
          <w:tab w:val="left" w:pos="720"/>
        </w:tabs>
        <w:spacing w:before="156"/>
        <w:ind w:left="499" w:leftChars="208" w:firstLine="480" w:firstLineChars="200"/>
        <w:outlineLvl w:val="0"/>
        <w:rPr>
          <w:rFonts w:hint="eastAsia" w:ascii="宋体" w:hAnsi="宋体" w:eastAsia="宋体" w:cs="宋体"/>
          <w:sz w:val="24"/>
          <w:szCs w:val="24"/>
        </w:rPr>
      </w:pPr>
      <w:r>
        <w:rPr>
          <w:rFonts w:hint="eastAsia" w:ascii="宋体" w:hAnsi="宋体" w:eastAsia="宋体" w:cs="宋体"/>
          <w:sz w:val="24"/>
          <w:szCs w:val="24"/>
        </w:rPr>
        <w:t>软件对请求作出响应的时间，与业务处理相关操作的系统最大响应时间，从用户视角来看应为即时响应，无停顿或等待感觉；日常业务报表统计功能最大响应时间不能影响运作中系统的性能。</w:t>
      </w:r>
    </w:p>
    <w:p>
      <w:pPr>
        <w:numPr>
          <w:ilvl w:val="0"/>
          <w:numId w:val="26"/>
        </w:numPr>
        <w:spacing w:before="156"/>
        <w:ind w:left="478" w:leftChars="199" w:firstLine="480" w:firstLineChars="200"/>
        <w:outlineLvl w:val="0"/>
        <w:rPr>
          <w:rFonts w:hint="eastAsia" w:ascii="宋体" w:hAnsi="宋体" w:eastAsia="宋体" w:cs="宋体"/>
          <w:sz w:val="24"/>
          <w:szCs w:val="24"/>
        </w:rPr>
      </w:pPr>
      <w:r>
        <w:rPr>
          <w:rFonts w:hint="eastAsia" w:ascii="宋体" w:hAnsi="宋体" w:eastAsia="宋体" w:cs="宋体"/>
          <w:sz w:val="24"/>
          <w:szCs w:val="24"/>
        </w:rPr>
        <w:t>并发用户数</w:t>
      </w:r>
    </w:p>
    <w:p>
      <w:pPr>
        <w:numPr>
          <w:ilvl w:val="0"/>
          <w:numId w:val="0"/>
        </w:numPr>
        <w:tabs>
          <w:tab w:val="left" w:pos="720"/>
        </w:tabs>
        <w:spacing w:before="156"/>
        <w:ind w:left="499" w:leftChars="208" w:firstLine="480" w:firstLineChars="200"/>
        <w:outlineLvl w:val="0"/>
        <w:rPr>
          <w:rFonts w:hint="eastAsia" w:ascii="宋体" w:hAnsi="宋体" w:eastAsia="宋体" w:cs="宋体"/>
          <w:sz w:val="24"/>
          <w:szCs w:val="24"/>
          <w:highlight w:val="none"/>
          <w:lang w:val="en-US" w:eastAsia="zh-CN"/>
        </w:rPr>
      </w:pPr>
      <w:r>
        <w:rPr>
          <w:rFonts w:hint="eastAsia" w:ascii="宋体" w:hAnsi="宋体" w:eastAsia="宋体" w:cs="宋体"/>
          <w:sz w:val="24"/>
          <w:szCs w:val="24"/>
          <w:lang w:val="en-US" w:eastAsia="zh-CN"/>
        </w:rPr>
        <w:t>供应商需按院方所要求的压力测试软件（LoadRunner、Apache JMeter、NeoLoad、WebLOAD等）进行测试，压力测试软件由供应商自行准备。软件上线前需通过并发数为</w:t>
      </w:r>
      <w:r>
        <w:rPr>
          <w:rFonts w:hint="eastAsia" w:ascii="宋体" w:hAnsi="宋体" w:eastAsia="宋体" w:cs="宋体"/>
          <w:sz w:val="24"/>
          <w:szCs w:val="24"/>
          <w:highlight w:val="none"/>
          <w:u w:val="single"/>
          <w:lang w:val="en-US" w:eastAsia="zh-CN"/>
        </w:rPr>
        <w:t>500次/s</w:t>
      </w:r>
      <w:r>
        <w:rPr>
          <w:rFonts w:hint="eastAsia" w:ascii="宋体" w:hAnsi="宋体" w:eastAsia="宋体" w:cs="宋体"/>
          <w:sz w:val="24"/>
          <w:szCs w:val="24"/>
          <w:lang w:val="en-US" w:eastAsia="zh-CN"/>
        </w:rPr>
        <w:t>的压力测试，且应保证维护期间5年内的</w:t>
      </w:r>
      <w:r>
        <w:rPr>
          <w:rFonts w:hint="eastAsia" w:ascii="宋体" w:hAnsi="宋体" w:eastAsia="宋体" w:cs="宋体"/>
          <w:sz w:val="24"/>
          <w:szCs w:val="24"/>
          <w:highlight w:val="none"/>
        </w:rPr>
        <w:t>最大并发用户数</w:t>
      </w:r>
      <w:r>
        <w:rPr>
          <w:rFonts w:hint="eastAsia" w:ascii="宋体" w:hAnsi="宋体" w:eastAsia="宋体" w:cs="宋体"/>
          <w:sz w:val="24"/>
          <w:szCs w:val="24"/>
          <w:highlight w:val="none"/>
          <w:lang w:val="en-US" w:eastAsia="zh-CN"/>
        </w:rPr>
        <w:t>。</w:t>
      </w:r>
    </w:p>
    <w:p>
      <w:pPr>
        <w:numPr>
          <w:ilvl w:val="0"/>
          <w:numId w:val="26"/>
        </w:numPr>
        <w:spacing w:before="156"/>
        <w:ind w:left="478" w:leftChars="199" w:firstLine="480" w:firstLineChars="200"/>
        <w:outlineLvl w:val="0"/>
        <w:rPr>
          <w:rFonts w:hint="eastAsia" w:ascii="宋体" w:hAnsi="宋体" w:eastAsia="宋体" w:cs="宋体"/>
          <w:sz w:val="24"/>
          <w:szCs w:val="24"/>
        </w:rPr>
      </w:pPr>
      <w:r>
        <w:rPr>
          <w:rFonts w:hint="eastAsia" w:ascii="宋体" w:hAnsi="宋体" w:eastAsia="宋体" w:cs="宋体"/>
          <w:sz w:val="24"/>
          <w:szCs w:val="24"/>
        </w:rPr>
        <w:t>易存取性</w:t>
      </w:r>
    </w:p>
    <w:p>
      <w:pPr>
        <w:numPr>
          <w:ilvl w:val="0"/>
          <w:numId w:val="0"/>
        </w:numPr>
        <w:tabs>
          <w:tab w:val="left" w:pos="720"/>
        </w:tabs>
        <w:spacing w:before="156"/>
        <w:ind w:left="499" w:leftChars="208" w:firstLine="480" w:firstLineChars="200"/>
        <w:outlineLvl w:val="0"/>
        <w:rPr>
          <w:rFonts w:hint="eastAsia" w:ascii="宋体" w:hAnsi="宋体" w:eastAsia="宋体" w:cs="宋体"/>
          <w:sz w:val="24"/>
          <w:szCs w:val="24"/>
        </w:rPr>
      </w:pPr>
      <w:r>
        <w:rPr>
          <w:rFonts w:hint="eastAsia" w:ascii="宋体" w:hAnsi="宋体" w:eastAsia="宋体" w:cs="宋体"/>
          <w:sz w:val="24"/>
          <w:szCs w:val="24"/>
        </w:rPr>
        <w:t>对软件的存取权限设置清楚，存取操作方便，存取操作有记录。</w:t>
      </w:r>
    </w:p>
    <w:p>
      <w:pPr>
        <w:pStyle w:val="10"/>
        <w:numPr>
          <w:ilvl w:val="0"/>
          <w:numId w:val="23"/>
        </w:numPr>
        <w:spacing w:before="156"/>
        <w:ind w:left="480" w:leftChars="200" w:firstLine="482" w:firstLineChars="200"/>
        <w:jc w:val="left"/>
        <w:rPr>
          <w:rFonts w:hint="eastAsia" w:ascii="宋体" w:hAnsi="宋体" w:eastAsia="宋体" w:cs="宋体"/>
          <w:sz w:val="24"/>
          <w:szCs w:val="24"/>
        </w:rPr>
      </w:pPr>
      <w:r>
        <w:rPr>
          <w:rFonts w:hint="eastAsia" w:ascii="宋体" w:hAnsi="宋体" w:eastAsia="宋体" w:cs="宋体"/>
          <w:sz w:val="24"/>
          <w:szCs w:val="24"/>
        </w:rPr>
        <w:t>安全性质量指标</w:t>
      </w:r>
    </w:p>
    <w:p>
      <w:pPr>
        <w:numPr>
          <w:ilvl w:val="0"/>
          <w:numId w:val="27"/>
        </w:numPr>
        <w:spacing w:before="156"/>
        <w:ind w:left="480" w:leftChars="200" w:firstLine="480" w:firstLineChars="200"/>
        <w:outlineLvl w:val="0"/>
        <w:rPr>
          <w:rFonts w:hint="eastAsia" w:ascii="宋体" w:hAnsi="宋体" w:eastAsia="宋体" w:cs="宋体"/>
          <w:sz w:val="24"/>
          <w:szCs w:val="24"/>
        </w:rPr>
      </w:pPr>
      <w:r>
        <w:rPr>
          <w:rFonts w:hint="eastAsia" w:ascii="宋体" w:hAnsi="宋体" w:eastAsia="宋体" w:cs="宋体"/>
          <w:sz w:val="24"/>
          <w:szCs w:val="24"/>
        </w:rPr>
        <w:t>软件具有良好的安全管理，能防止不安全存取软件、防止数据丢失、防止病毒入侵对数据的破坏等。</w:t>
      </w:r>
    </w:p>
    <w:p>
      <w:pPr>
        <w:numPr>
          <w:ilvl w:val="0"/>
          <w:numId w:val="27"/>
        </w:numPr>
        <w:spacing w:before="156"/>
        <w:ind w:left="480" w:leftChars="200" w:firstLine="480" w:firstLineChars="200"/>
        <w:outlineLvl w:val="0"/>
        <w:rPr>
          <w:rFonts w:hint="eastAsia" w:ascii="宋体" w:hAnsi="宋体" w:eastAsia="宋体" w:cs="宋体"/>
          <w:sz w:val="24"/>
          <w:szCs w:val="24"/>
        </w:rPr>
      </w:pPr>
      <w:r>
        <w:rPr>
          <w:rFonts w:hint="eastAsia" w:ascii="宋体" w:hAnsi="宋体" w:eastAsia="宋体" w:cs="宋体"/>
          <w:sz w:val="24"/>
          <w:szCs w:val="24"/>
        </w:rPr>
        <w:t>软件具有良好的权限访问机制，未获授权无法使用软件及通过本软件获取数据。通过本软件所获取的数据、结果必须准确、合法、一致性。</w:t>
      </w:r>
    </w:p>
    <w:p>
      <w:pPr>
        <w:numPr>
          <w:ilvl w:val="0"/>
          <w:numId w:val="27"/>
        </w:numPr>
        <w:spacing w:before="156"/>
        <w:ind w:left="480" w:leftChars="200" w:firstLine="480" w:firstLineChars="200"/>
        <w:outlineLvl w:val="0"/>
        <w:rPr>
          <w:rFonts w:hint="eastAsia" w:ascii="宋体" w:hAnsi="宋体" w:eastAsia="宋体" w:cs="宋体"/>
          <w:sz w:val="24"/>
          <w:szCs w:val="24"/>
        </w:rPr>
      </w:pPr>
      <w:r>
        <w:rPr>
          <w:rFonts w:hint="eastAsia" w:ascii="宋体" w:hAnsi="宋体" w:eastAsia="宋体" w:cs="宋体"/>
          <w:sz w:val="24"/>
          <w:szCs w:val="24"/>
          <w:lang w:eastAsia="zh-CN"/>
        </w:rPr>
        <w:t>服务方</w:t>
      </w:r>
      <w:r>
        <w:rPr>
          <w:rFonts w:hint="eastAsia" w:ascii="宋体" w:hAnsi="宋体" w:eastAsia="宋体" w:cs="宋体"/>
          <w:sz w:val="24"/>
          <w:szCs w:val="24"/>
        </w:rPr>
        <w:t>需提供出完善、安全、经济的数据容灾解决方案，确保</w:t>
      </w:r>
      <w:r>
        <w:rPr>
          <w:rFonts w:hint="eastAsia" w:ascii="宋体" w:hAnsi="宋体" w:eastAsia="宋体" w:cs="宋体"/>
          <w:sz w:val="24"/>
          <w:szCs w:val="24"/>
          <w:lang w:eastAsia="zh-CN"/>
        </w:rPr>
        <w:t>院方</w:t>
      </w:r>
      <w:r>
        <w:rPr>
          <w:rFonts w:hint="eastAsia" w:ascii="宋体" w:hAnsi="宋体" w:eastAsia="宋体" w:cs="宋体"/>
          <w:sz w:val="24"/>
          <w:szCs w:val="24"/>
        </w:rPr>
        <w:t>的信息系统安全稳定的运行。</w:t>
      </w:r>
    </w:p>
    <w:p>
      <w:pPr>
        <w:numPr>
          <w:ilvl w:val="0"/>
          <w:numId w:val="27"/>
        </w:numPr>
        <w:spacing w:before="156"/>
        <w:ind w:left="480" w:leftChars="200" w:firstLine="480" w:firstLineChars="200"/>
        <w:outlineLvl w:val="0"/>
        <w:rPr>
          <w:rFonts w:hint="eastAsia" w:ascii="宋体" w:hAnsi="宋体" w:eastAsia="宋体" w:cs="宋体"/>
          <w:sz w:val="24"/>
          <w:szCs w:val="24"/>
          <w:highlight w:val="none"/>
        </w:rPr>
      </w:pPr>
      <w:r>
        <w:rPr>
          <w:rFonts w:hint="eastAsia" w:ascii="宋体" w:hAnsi="宋体" w:eastAsia="宋体" w:cs="宋体"/>
          <w:sz w:val="24"/>
          <w:szCs w:val="24"/>
          <w:highlight w:val="none"/>
        </w:rPr>
        <w:t>按照</w:t>
      </w:r>
      <w:r>
        <w:rPr>
          <w:rFonts w:hint="eastAsia" w:ascii="宋体" w:hAnsi="宋体" w:eastAsia="宋体" w:cs="宋体"/>
          <w:sz w:val="24"/>
          <w:szCs w:val="24"/>
          <w:highlight w:val="none"/>
          <w:lang w:eastAsia="zh-CN"/>
        </w:rPr>
        <w:t>院方</w:t>
      </w:r>
      <w:r>
        <w:rPr>
          <w:rFonts w:hint="eastAsia" w:ascii="宋体" w:hAnsi="宋体" w:eastAsia="宋体" w:cs="宋体"/>
          <w:sz w:val="24"/>
          <w:szCs w:val="24"/>
          <w:highlight w:val="none"/>
        </w:rPr>
        <w:t>要求，软件需通过</w:t>
      </w:r>
      <w:r>
        <w:rPr>
          <w:rFonts w:hint="eastAsia" w:ascii="宋体" w:hAnsi="宋体" w:eastAsia="宋体" w:cs="宋体"/>
          <w:sz w:val="24"/>
          <w:szCs w:val="24"/>
          <w:highlight w:val="none"/>
          <w:lang w:eastAsia="zh-CN"/>
        </w:rPr>
        <w:t>院方</w:t>
      </w:r>
      <w:r>
        <w:rPr>
          <w:rFonts w:hint="eastAsia" w:ascii="宋体" w:hAnsi="宋体" w:eastAsia="宋体" w:cs="宋体"/>
          <w:sz w:val="24"/>
          <w:szCs w:val="24"/>
          <w:highlight w:val="none"/>
        </w:rPr>
        <w:t>信息部门组织的信息系统安全等级定级要求，</w:t>
      </w:r>
      <w:r>
        <w:rPr>
          <w:rFonts w:hint="eastAsia" w:ascii="宋体" w:hAnsi="宋体" w:eastAsia="宋体" w:cs="宋体"/>
          <w:sz w:val="24"/>
          <w:szCs w:val="24"/>
          <w:highlight w:val="none"/>
          <w:lang w:val="en-US" w:eastAsia="zh-CN"/>
        </w:rPr>
        <w:t>服务方需</w:t>
      </w:r>
      <w:r>
        <w:rPr>
          <w:rFonts w:hint="eastAsia" w:ascii="宋体" w:hAnsi="宋体" w:eastAsia="宋体" w:cs="宋体"/>
          <w:sz w:val="24"/>
          <w:szCs w:val="24"/>
          <w:highlight w:val="none"/>
        </w:rPr>
        <w:t>依据国家最新等级保护标准完成系统功能建设</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上线前软件需通过</w:t>
      </w:r>
      <w:r>
        <w:rPr>
          <w:rFonts w:hint="eastAsia" w:ascii="宋体" w:hAnsi="宋体" w:eastAsia="宋体" w:cs="宋体"/>
          <w:sz w:val="24"/>
          <w:szCs w:val="24"/>
          <w:highlight w:val="none"/>
          <w:lang w:eastAsia="zh-CN"/>
        </w:rPr>
        <w:t>院方</w:t>
      </w:r>
      <w:r>
        <w:rPr>
          <w:rFonts w:hint="eastAsia" w:ascii="宋体" w:hAnsi="宋体" w:eastAsia="宋体" w:cs="宋体"/>
          <w:sz w:val="24"/>
          <w:szCs w:val="24"/>
          <w:highlight w:val="none"/>
        </w:rPr>
        <w:t>信息部门组织的安全测评、漏洞扫描、渗透测试等安全检查，</w:t>
      </w:r>
      <w:r>
        <w:rPr>
          <w:rFonts w:hint="eastAsia" w:ascii="宋体" w:hAnsi="宋体" w:eastAsia="宋体" w:cs="宋体"/>
          <w:sz w:val="24"/>
          <w:szCs w:val="24"/>
          <w:highlight w:val="none"/>
          <w:lang w:val="en-US" w:eastAsia="zh-CN"/>
        </w:rPr>
        <w:t>服务方</w:t>
      </w:r>
      <w:r>
        <w:rPr>
          <w:rFonts w:hint="eastAsia" w:ascii="宋体" w:hAnsi="宋体" w:eastAsia="宋体" w:cs="宋体"/>
          <w:sz w:val="24"/>
          <w:szCs w:val="24"/>
          <w:highlight w:val="none"/>
        </w:rPr>
        <w:t>根据检测结果对安全漏洞进行整改。</w:t>
      </w:r>
    </w:p>
    <w:p>
      <w:pPr>
        <w:pStyle w:val="10"/>
        <w:numPr>
          <w:ilvl w:val="0"/>
          <w:numId w:val="23"/>
        </w:numPr>
        <w:spacing w:before="156"/>
        <w:ind w:left="480" w:leftChars="200" w:firstLine="482" w:firstLineChars="20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实施人员要求</w:t>
      </w:r>
    </w:p>
    <w:p>
      <w:pPr>
        <w:numPr>
          <w:ilvl w:val="0"/>
          <w:numId w:val="0"/>
        </w:numPr>
        <w:spacing w:before="156"/>
        <w:ind w:left="420" w:leftChars="0" w:firstLine="420" w:firstLineChars="0"/>
        <w:outlineLvl w:val="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团队人员要求具备两年或两年以上的系统开发或维护工作经验，能较快处理系统在运行中的故障问题。</w:t>
      </w:r>
      <w:r>
        <w:rPr>
          <w:rFonts w:hint="eastAsia" w:cs="宋体"/>
          <w:sz w:val="24"/>
          <w:szCs w:val="24"/>
          <w:highlight w:val="none"/>
          <w:lang w:val="en-US" w:eastAsia="zh-CN"/>
        </w:rPr>
        <w:t>服务方</w:t>
      </w:r>
      <w:r>
        <w:rPr>
          <w:rFonts w:hint="eastAsia" w:ascii="宋体" w:hAnsi="宋体" w:eastAsia="宋体" w:cs="宋体"/>
          <w:sz w:val="24"/>
          <w:szCs w:val="24"/>
          <w:highlight w:val="none"/>
          <w:lang w:eastAsia="zh-CN"/>
        </w:rPr>
        <w:t>提供驻场运维人员素质达不到</w:t>
      </w:r>
      <w:r>
        <w:rPr>
          <w:rFonts w:hint="eastAsia" w:cs="宋体"/>
          <w:sz w:val="24"/>
          <w:szCs w:val="24"/>
          <w:highlight w:val="none"/>
          <w:lang w:eastAsia="zh-CN"/>
        </w:rPr>
        <w:t>院方</w:t>
      </w:r>
      <w:r>
        <w:rPr>
          <w:rFonts w:hint="eastAsia" w:ascii="宋体" w:hAnsi="宋体" w:eastAsia="宋体" w:cs="宋体"/>
          <w:sz w:val="24"/>
          <w:szCs w:val="24"/>
          <w:highlight w:val="none"/>
          <w:lang w:eastAsia="zh-CN"/>
        </w:rPr>
        <w:t>工作要求时，应及时在1个月内安排更换。驻场服务人员服务时间：正常工作日早上8:00—下午18:00。</w:t>
      </w:r>
    </w:p>
    <w:p>
      <w:pPr>
        <w:rPr>
          <w:rFonts w:hint="eastAsia" w:ascii="宋体" w:hAnsi="宋体" w:eastAsia="宋体" w:cs="宋体"/>
        </w:rPr>
      </w:pPr>
    </w:p>
    <w:p>
      <w:pPr>
        <w:pStyle w:val="2"/>
        <w:numPr>
          <w:ilvl w:val="0"/>
          <w:numId w:val="0"/>
        </w:numPr>
        <w:ind w:leftChars="0"/>
        <w:rPr>
          <w:rFonts w:hint="eastAsia" w:ascii="宋体" w:hAnsi="宋体" w:eastAsia="宋体" w:cs="宋体"/>
          <w:lang w:eastAsia="zh-CN"/>
        </w:rPr>
      </w:pPr>
      <w:r>
        <w:rPr>
          <w:rFonts w:hint="eastAsia" w:cs="宋体"/>
          <w:lang w:val="en-US" w:eastAsia="zh-CN"/>
        </w:rPr>
        <w:t>五、</w:t>
      </w:r>
      <w:r>
        <w:rPr>
          <w:rFonts w:hint="eastAsia" w:ascii="宋体" w:hAnsi="宋体" w:eastAsia="宋体" w:cs="宋体"/>
          <w:lang w:eastAsia="zh-CN"/>
        </w:rPr>
        <w:t>保修要求</w:t>
      </w:r>
    </w:p>
    <w:p>
      <w:pPr>
        <w:pStyle w:val="10"/>
        <w:numPr>
          <w:ilvl w:val="0"/>
          <w:numId w:val="28"/>
        </w:numPr>
        <w:tabs>
          <w:tab w:val="left" w:pos="420"/>
        </w:tabs>
        <w:spacing w:before="156"/>
        <w:ind w:left="480" w:leftChars="200" w:firstLine="482" w:firstLineChars="200"/>
        <w:jc w:val="left"/>
        <w:rPr>
          <w:rFonts w:hint="eastAsia" w:ascii="宋体" w:hAnsi="宋体" w:eastAsia="宋体" w:cs="宋体"/>
          <w:sz w:val="24"/>
          <w:szCs w:val="24"/>
        </w:rPr>
      </w:pPr>
      <w:r>
        <w:rPr>
          <w:rFonts w:hint="eastAsia" w:ascii="宋体" w:hAnsi="宋体" w:eastAsia="宋体" w:cs="宋体"/>
          <w:sz w:val="24"/>
          <w:szCs w:val="24"/>
        </w:rPr>
        <w:t>应用软件免费维护期从合同标的验收合格之日算起，期限为</w:t>
      </w:r>
      <w:r>
        <w:rPr>
          <w:rFonts w:hint="eastAsia" w:ascii="宋体" w:hAnsi="宋体" w:eastAsia="宋体" w:cs="宋体"/>
          <w:sz w:val="24"/>
          <w:szCs w:val="24"/>
          <w:u w:val="single"/>
          <w:lang w:val="en-US" w:eastAsia="zh-CN"/>
        </w:rPr>
        <w:t>24</w:t>
      </w:r>
      <w:r>
        <w:rPr>
          <w:rFonts w:hint="eastAsia" w:ascii="宋体" w:hAnsi="宋体" w:eastAsia="宋体" w:cs="宋体"/>
          <w:sz w:val="24"/>
          <w:szCs w:val="24"/>
        </w:rPr>
        <w:t>个月。</w:t>
      </w:r>
    </w:p>
    <w:p>
      <w:pPr>
        <w:spacing w:before="156"/>
        <w:ind w:left="480" w:leftChars="200" w:firstLine="480" w:firstLineChars="200"/>
        <w:rPr>
          <w:rFonts w:hint="eastAsia" w:ascii="宋体" w:hAnsi="宋体" w:eastAsia="宋体" w:cs="宋体"/>
          <w:sz w:val="24"/>
        </w:rPr>
      </w:pPr>
      <w:r>
        <w:rPr>
          <w:rFonts w:hint="eastAsia" w:ascii="宋体" w:hAnsi="宋体" w:eastAsia="宋体" w:cs="宋体"/>
          <w:sz w:val="24"/>
        </w:rPr>
        <w:t>在免费维护期结束前，须由</w:t>
      </w:r>
      <w:r>
        <w:rPr>
          <w:rFonts w:hint="eastAsia" w:ascii="宋体" w:hAnsi="宋体" w:eastAsia="宋体" w:cs="宋体"/>
          <w:sz w:val="24"/>
          <w:lang w:eastAsia="zh-CN"/>
        </w:rPr>
        <w:t>服务方</w:t>
      </w:r>
      <w:r>
        <w:rPr>
          <w:rFonts w:hint="eastAsia" w:ascii="宋体" w:hAnsi="宋体" w:eastAsia="宋体" w:cs="宋体"/>
          <w:sz w:val="24"/>
        </w:rPr>
        <w:t>和</w:t>
      </w:r>
      <w:r>
        <w:rPr>
          <w:rFonts w:hint="eastAsia" w:ascii="宋体" w:hAnsi="宋体" w:eastAsia="宋体" w:cs="宋体"/>
          <w:sz w:val="24"/>
          <w:lang w:eastAsia="zh-CN"/>
        </w:rPr>
        <w:t>院方</w:t>
      </w:r>
      <w:r>
        <w:rPr>
          <w:rFonts w:hint="eastAsia" w:ascii="宋体" w:hAnsi="宋体" w:eastAsia="宋体" w:cs="宋体"/>
          <w:sz w:val="24"/>
        </w:rPr>
        <w:t>进行一次全面检查，任何缺陷必须由</w:t>
      </w:r>
      <w:r>
        <w:rPr>
          <w:rFonts w:hint="eastAsia" w:ascii="宋体" w:hAnsi="宋体" w:eastAsia="宋体" w:cs="宋体"/>
          <w:sz w:val="24"/>
          <w:lang w:eastAsia="zh-CN"/>
        </w:rPr>
        <w:t>服务方</w:t>
      </w:r>
      <w:r>
        <w:rPr>
          <w:rFonts w:hint="eastAsia" w:ascii="宋体" w:hAnsi="宋体" w:eastAsia="宋体" w:cs="宋体"/>
          <w:sz w:val="24"/>
        </w:rPr>
        <w:t>负责修复，在修复之后，</w:t>
      </w:r>
      <w:r>
        <w:rPr>
          <w:rFonts w:hint="eastAsia" w:ascii="宋体" w:hAnsi="宋体" w:eastAsia="宋体" w:cs="宋体"/>
          <w:sz w:val="24"/>
          <w:lang w:eastAsia="zh-CN"/>
        </w:rPr>
        <w:t>服务方</w:t>
      </w:r>
      <w:r>
        <w:rPr>
          <w:rFonts w:hint="eastAsia" w:ascii="宋体" w:hAnsi="宋体" w:eastAsia="宋体" w:cs="宋体"/>
          <w:sz w:val="24"/>
        </w:rPr>
        <w:t>应将缺陷原因、修复内容、完成修理及恢复正常的时间和日期等报告给</w:t>
      </w:r>
      <w:r>
        <w:rPr>
          <w:rFonts w:hint="eastAsia" w:ascii="宋体" w:hAnsi="宋体" w:eastAsia="宋体" w:cs="宋体"/>
          <w:sz w:val="24"/>
          <w:lang w:eastAsia="zh-CN"/>
        </w:rPr>
        <w:t>院方</w:t>
      </w:r>
      <w:r>
        <w:rPr>
          <w:rFonts w:hint="eastAsia" w:ascii="宋体" w:hAnsi="宋体" w:eastAsia="宋体" w:cs="宋体"/>
          <w:sz w:val="24"/>
        </w:rPr>
        <w:t>，形成项目总结报告（一式两份）。</w:t>
      </w:r>
    </w:p>
    <w:p>
      <w:pPr>
        <w:pStyle w:val="10"/>
        <w:numPr>
          <w:ilvl w:val="0"/>
          <w:numId w:val="28"/>
        </w:numPr>
        <w:tabs>
          <w:tab w:val="left" w:pos="420"/>
        </w:tabs>
        <w:spacing w:before="156"/>
        <w:ind w:left="480" w:leftChars="200" w:firstLine="482" w:firstLineChars="200"/>
        <w:jc w:val="left"/>
        <w:rPr>
          <w:rFonts w:hint="eastAsia" w:ascii="宋体" w:hAnsi="宋体" w:eastAsia="宋体" w:cs="宋体"/>
          <w:sz w:val="24"/>
          <w:szCs w:val="24"/>
        </w:rPr>
      </w:pPr>
      <w:r>
        <w:rPr>
          <w:rFonts w:hint="eastAsia" w:ascii="宋体" w:hAnsi="宋体" w:eastAsia="宋体" w:cs="宋体"/>
          <w:sz w:val="24"/>
          <w:szCs w:val="24"/>
        </w:rPr>
        <w:t>系统本地化开发</w:t>
      </w:r>
    </w:p>
    <w:p>
      <w:pPr>
        <w:numPr>
          <w:ilvl w:val="0"/>
          <w:numId w:val="29"/>
        </w:numPr>
        <w:spacing w:before="156"/>
        <w:ind w:left="420" w:firstLine="480" w:firstLineChars="200"/>
        <w:rPr>
          <w:rFonts w:hint="eastAsia" w:ascii="宋体" w:hAnsi="宋体" w:eastAsia="宋体" w:cs="宋体"/>
          <w:sz w:val="24"/>
          <w:szCs w:val="24"/>
        </w:rPr>
      </w:pPr>
      <w:r>
        <w:rPr>
          <w:rFonts w:hint="eastAsia" w:ascii="宋体" w:hAnsi="宋体" w:eastAsia="宋体" w:cs="宋体"/>
          <w:sz w:val="24"/>
          <w:szCs w:val="24"/>
        </w:rPr>
        <w:t>软件升级：</w:t>
      </w:r>
      <w:r>
        <w:rPr>
          <w:rFonts w:hint="eastAsia" w:ascii="宋体" w:hAnsi="宋体" w:eastAsia="宋体" w:cs="宋体"/>
          <w:sz w:val="24"/>
          <w:szCs w:val="24"/>
          <w:lang w:eastAsia="zh-CN"/>
        </w:rPr>
        <w:t>服务方</w:t>
      </w:r>
      <w:r>
        <w:rPr>
          <w:rFonts w:hint="eastAsia" w:ascii="宋体" w:hAnsi="宋体" w:eastAsia="宋体" w:cs="宋体"/>
          <w:sz w:val="24"/>
          <w:szCs w:val="24"/>
        </w:rPr>
        <w:t>出于对软件不断改进开发的新版本，在免费维护期内提供免费软件实施及培训等相关升级服务，</w:t>
      </w:r>
      <w:r>
        <w:rPr>
          <w:rFonts w:hint="eastAsia" w:ascii="宋体" w:hAnsi="宋体" w:eastAsia="宋体" w:cs="宋体"/>
          <w:sz w:val="24"/>
          <w:szCs w:val="24"/>
          <w:lang w:eastAsia="zh-CN"/>
        </w:rPr>
        <w:t>服务方</w:t>
      </w:r>
      <w:r>
        <w:rPr>
          <w:rFonts w:hint="eastAsia" w:ascii="宋体" w:hAnsi="宋体" w:eastAsia="宋体" w:cs="宋体"/>
          <w:sz w:val="24"/>
          <w:szCs w:val="24"/>
        </w:rPr>
        <w:t>保证在发布新版本系统后1个月内，完成在</w:t>
      </w:r>
      <w:r>
        <w:rPr>
          <w:rFonts w:hint="eastAsia" w:ascii="宋体" w:hAnsi="宋体" w:eastAsia="宋体" w:cs="宋体"/>
          <w:sz w:val="24"/>
          <w:szCs w:val="24"/>
          <w:lang w:eastAsia="zh-CN"/>
        </w:rPr>
        <w:t>院方</w:t>
      </w:r>
      <w:r>
        <w:rPr>
          <w:rFonts w:hint="eastAsia" w:ascii="宋体" w:hAnsi="宋体" w:eastAsia="宋体" w:cs="宋体"/>
          <w:sz w:val="24"/>
          <w:szCs w:val="24"/>
        </w:rPr>
        <w:t>的升级，保证用户使用公司最新版本软件程序。</w:t>
      </w:r>
      <w:r>
        <w:rPr>
          <w:rFonts w:hint="eastAsia" w:ascii="宋体" w:hAnsi="宋体" w:eastAsia="宋体" w:cs="宋体"/>
          <w:sz w:val="24"/>
          <w:szCs w:val="24"/>
          <w:lang w:eastAsia="zh-CN"/>
        </w:rPr>
        <w:t>服务方</w:t>
      </w:r>
      <w:r>
        <w:rPr>
          <w:rFonts w:hint="eastAsia" w:ascii="宋体" w:hAnsi="宋体" w:eastAsia="宋体" w:cs="宋体"/>
          <w:sz w:val="24"/>
          <w:szCs w:val="24"/>
        </w:rPr>
        <w:t>定期对提交给</w:t>
      </w:r>
      <w:r>
        <w:rPr>
          <w:rFonts w:hint="eastAsia" w:ascii="宋体" w:hAnsi="宋体" w:eastAsia="宋体" w:cs="宋体"/>
          <w:sz w:val="24"/>
          <w:szCs w:val="24"/>
          <w:lang w:eastAsia="zh-CN"/>
        </w:rPr>
        <w:t>院方</w:t>
      </w:r>
      <w:r>
        <w:rPr>
          <w:rFonts w:hint="eastAsia" w:ascii="宋体" w:hAnsi="宋体" w:eastAsia="宋体" w:cs="宋体"/>
          <w:sz w:val="24"/>
          <w:szCs w:val="24"/>
        </w:rPr>
        <w:t>的版本进行管理，至少半年提交新版源代码并提交相关说明文档。</w:t>
      </w:r>
    </w:p>
    <w:p>
      <w:pPr>
        <w:numPr>
          <w:ilvl w:val="0"/>
          <w:numId w:val="29"/>
        </w:numPr>
        <w:spacing w:before="156"/>
        <w:ind w:left="420" w:firstLine="480" w:firstLineChars="200"/>
        <w:rPr>
          <w:rFonts w:hint="eastAsia" w:ascii="宋体" w:hAnsi="宋体" w:eastAsia="宋体" w:cs="宋体"/>
          <w:sz w:val="24"/>
          <w:szCs w:val="24"/>
        </w:rPr>
      </w:pPr>
      <w:r>
        <w:rPr>
          <w:rFonts w:hint="eastAsia" w:ascii="宋体" w:hAnsi="宋体" w:eastAsia="宋体" w:cs="宋体"/>
          <w:sz w:val="24"/>
          <w:szCs w:val="24"/>
        </w:rPr>
        <w:t>功能改进：在不超出本项目功能模块范围内的本地化功能改进需求，</w:t>
      </w:r>
      <w:r>
        <w:rPr>
          <w:rFonts w:hint="eastAsia" w:ascii="宋体" w:hAnsi="宋体" w:eastAsia="宋体" w:cs="宋体"/>
          <w:sz w:val="24"/>
          <w:szCs w:val="24"/>
          <w:lang w:eastAsia="zh-CN"/>
        </w:rPr>
        <w:t>服务方</w:t>
      </w:r>
      <w:r>
        <w:rPr>
          <w:rFonts w:hint="eastAsia" w:ascii="宋体" w:hAnsi="宋体" w:eastAsia="宋体" w:cs="宋体"/>
          <w:sz w:val="24"/>
          <w:szCs w:val="24"/>
        </w:rPr>
        <w:t>须根据</w:t>
      </w:r>
      <w:r>
        <w:rPr>
          <w:rFonts w:hint="eastAsia" w:ascii="宋体" w:hAnsi="宋体" w:eastAsia="宋体" w:cs="宋体"/>
          <w:sz w:val="24"/>
          <w:szCs w:val="24"/>
          <w:lang w:eastAsia="zh-CN"/>
        </w:rPr>
        <w:t>院方</w:t>
      </w:r>
      <w:r>
        <w:rPr>
          <w:rFonts w:hint="eastAsia" w:ascii="宋体" w:hAnsi="宋体" w:eastAsia="宋体" w:cs="宋体"/>
          <w:sz w:val="24"/>
          <w:szCs w:val="24"/>
        </w:rPr>
        <w:t>要求按时完成。</w:t>
      </w:r>
    </w:p>
    <w:p>
      <w:pPr>
        <w:numPr>
          <w:ilvl w:val="0"/>
          <w:numId w:val="29"/>
        </w:numPr>
        <w:spacing w:before="156"/>
        <w:ind w:left="420" w:firstLine="480" w:firstLineChars="200"/>
        <w:rPr>
          <w:rFonts w:hint="eastAsia" w:ascii="宋体" w:hAnsi="宋体" w:eastAsia="宋体" w:cs="宋体"/>
          <w:sz w:val="24"/>
          <w:szCs w:val="24"/>
        </w:rPr>
      </w:pPr>
      <w:r>
        <w:rPr>
          <w:rFonts w:hint="eastAsia" w:ascii="宋体" w:hAnsi="宋体" w:eastAsia="宋体" w:cs="宋体"/>
          <w:sz w:val="24"/>
          <w:szCs w:val="24"/>
        </w:rPr>
        <w:t>系统接口：提供对第三方开放系统数据接口，免费维护期内增加接口不再收取任何费用；自</w:t>
      </w:r>
      <w:r>
        <w:rPr>
          <w:rFonts w:hint="eastAsia" w:ascii="宋体" w:hAnsi="宋体" w:eastAsia="宋体" w:cs="宋体"/>
          <w:sz w:val="24"/>
          <w:szCs w:val="24"/>
          <w:lang w:eastAsia="zh-CN"/>
        </w:rPr>
        <w:t>院方</w:t>
      </w:r>
      <w:r>
        <w:rPr>
          <w:rFonts w:hint="eastAsia" w:ascii="宋体" w:hAnsi="宋体" w:eastAsia="宋体" w:cs="宋体"/>
          <w:sz w:val="24"/>
          <w:szCs w:val="24"/>
        </w:rPr>
        <w:t>提出需求到验收通过最长不可超过3个月。</w:t>
      </w:r>
    </w:p>
    <w:p>
      <w:pPr>
        <w:numPr>
          <w:ilvl w:val="0"/>
          <w:numId w:val="29"/>
        </w:numPr>
        <w:spacing w:before="156"/>
        <w:ind w:left="420" w:firstLine="480" w:firstLineChars="200"/>
        <w:rPr>
          <w:rFonts w:hint="eastAsia" w:ascii="宋体" w:hAnsi="宋体" w:eastAsia="宋体" w:cs="宋体"/>
          <w:sz w:val="24"/>
          <w:szCs w:val="24"/>
        </w:rPr>
      </w:pPr>
      <w:r>
        <w:rPr>
          <w:rFonts w:hint="eastAsia" w:ascii="宋体" w:hAnsi="宋体" w:eastAsia="宋体" w:cs="宋体"/>
          <w:sz w:val="24"/>
          <w:szCs w:val="24"/>
        </w:rPr>
        <w:t>以上情况由</w:t>
      </w:r>
      <w:r>
        <w:rPr>
          <w:rFonts w:hint="eastAsia" w:ascii="宋体" w:hAnsi="宋体" w:eastAsia="宋体" w:cs="宋体"/>
          <w:sz w:val="24"/>
          <w:szCs w:val="24"/>
          <w:lang w:eastAsia="zh-CN"/>
        </w:rPr>
        <w:t>院方</w:t>
      </w:r>
      <w:r>
        <w:rPr>
          <w:rFonts w:hint="eastAsia" w:ascii="宋体" w:hAnsi="宋体" w:eastAsia="宋体" w:cs="宋体"/>
          <w:sz w:val="24"/>
          <w:szCs w:val="24"/>
        </w:rPr>
        <w:t>向</w:t>
      </w:r>
      <w:r>
        <w:rPr>
          <w:rFonts w:hint="eastAsia" w:ascii="宋体" w:hAnsi="宋体" w:eastAsia="宋体" w:cs="宋体"/>
          <w:sz w:val="24"/>
          <w:szCs w:val="24"/>
          <w:lang w:eastAsia="zh-CN"/>
        </w:rPr>
        <w:t>服务方</w:t>
      </w:r>
      <w:r>
        <w:rPr>
          <w:rFonts w:hint="eastAsia" w:ascii="宋体" w:hAnsi="宋体" w:eastAsia="宋体" w:cs="宋体"/>
          <w:sz w:val="24"/>
          <w:szCs w:val="24"/>
        </w:rPr>
        <w:t>提出需求申请后，</w:t>
      </w:r>
      <w:r>
        <w:rPr>
          <w:rFonts w:hint="eastAsia" w:ascii="宋体" w:hAnsi="宋体" w:eastAsia="宋体" w:cs="宋体"/>
          <w:sz w:val="24"/>
          <w:szCs w:val="24"/>
          <w:lang w:eastAsia="zh-CN"/>
        </w:rPr>
        <w:t>服务方</w:t>
      </w:r>
      <w:r>
        <w:rPr>
          <w:rFonts w:hint="eastAsia" w:ascii="宋体" w:hAnsi="宋体" w:eastAsia="宋体" w:cs="宋体"/>
          <w:sz w:val="24"/>
          <w:szCs w:val="24"/>
        </w:rPr>
        <w:t>应按</w:t>
      </w:r>
      <w:r>
        <w:rPr>
          <w:rFonts w:hint="eastAsia" w:ascii="宋体" w:hAnsi="宋体" w:eastAsia="宋体" w:cs="宋体"/>
          <w:sz w:val="24"/>
          <w:szCs w:val="24"/>
          <w:lang w:eastAsia="zh-CN"/>
        </w:rPr>
        <w:t>院方</w:t>
      </w:r>
      <w:r>
        <w:rPr>
          <w:rFonts w:hint="eastAsia" w:ascii="宋体" w:hAnsi="宋体" w:eastAsia="宋体" w:cs="宋体"/>
          <w:sz w:val="24"/>
          <w:szCs w:val="24"/>
        </w:rPr>
        <w:t>要求满足业务的连续性以及政策性要求，在与</w:t>
      </w:r>
      <w:r>
        <w:rPr>
          <w:rFonts w:hint="eastAsia" w:ascii="宋体" w:hAnsi="宋体" w:eastAsia="宋体" w:cs="宋体"/>
          <w:sz w:val="24"/>
          <w:szCs w:val="24"/>
          <w:lang w:eastAsia="zh-CN"/>
        </w:rPr>
        <w:t>院方</w:t>
      </w:r>
      <w:r>
        <w:rPr>
          <w:rFonts w:hint="eastAsia" w:ascii="宋体" w:hAnsi="宋体" w:eastAsia="宋体" w:cs="宋体"/>
          <w:sz w:val="24"/>
          <w:szCs w:val="24"/>
        </w:rPr>
        <w:t>充分沟通协商一致后拟定工作计划并按计划执行。如</w:t>
      </w:r>
      <w:r>
        <w:rPr>
          <w:rFonts w:hint="eastAsia" w:ascii="宋体" w:hAnsi="宋体" w:eastAsia="宋体" w:cs="宋体"/>
          <w:sz w:val="24"/>
          <w:szCs w:val="24"/>
          <w:lang w:eastAsia="zh-CN"/>
        </w:rPr>
        <w:t>服务方</w:t>
      </w:r>
      <w:r>
        <w:rPr>
          <w:rFonts w:hint="eastAsia" w:ascii="宋体" w:hAnsi="宋体" w:eastAsia="宋体" w:cs="宋体"/>
          <w:sz w:val="24"/>
          <w:szCs w:val="24"/>
        </w:rPr>
        <w:t>未按照约定计划拖延时间或不按计划执行则属违约，需承担响应违约责任并赔偿</w:t>
      </w:r>
      <w:r>
        <w:rPr>
          <w:rFonts w:hint="eastAsia" w:ascii="宋体" w:hAnsi="宋体" w:eastAsia="宋体" w:cs="宋体"/>
          <w:sz w:val="24"/>
          <w:szCs w:val="24"/>
          <w:lang w:eastAsia="zh-CN"/>
        </w:rPr>
        <w:t>院方</w:t>
      </w:r>
      <w:r>
        <w:rPr>
          <w:rFonts w:hint="eastAsia" w:ascii="宋体" w:hAnsi="宋体" w:eastAsia="宋体" w:cs="宋体"/>
          <w:sz w:val="24"/>
          <w:szCs w:val="24"/>
        </w:rPr>
        <w:t>因此造成的损失。</w:t>
      </w:r>
    </w:p>
    <w:p>
      <w:pPr>
        <w:pStyle w:val="10"/>
        <w:numPr>
          <w:ilvl w:val="0"/>
          <w:numId w:val="28"/>
        </w:numPr>
        <w:tabs>
          <w:tab w:val="left" w:pos="420"/>
        </w:tabs>
        <w:spacing w:before="156"/>
        <w:ind w:left="480" w:leftChars="200" w:firstLine="482" w:firstLineChars="200"/>
        <w:jc w:val="left"/>
        <w:rPr>
          <w:rFonts w:hint="eastAsia" w:ascii="宋体" w:hAnsi="宋体" w:eastAsia="宋体" w:cs="宋体"/>
          <w:sz w:val="24"/>
          <w:szCs w:val="24"/>
        </w:rPr>
      </w:pPr>
      <w:r>
        <w:rPr>
          <w:rFonts w:hint="eastAsia" w:ascii="宋体" w:hAnsi="宋体" w:eastAsia="宋体" w:cs="宋体"/>
          <w:sz w:val="24"/>
          <w:szCs w:val="24"/>
        </w:rPr>
        <w:t>培训</w:t>
      </w:r>
    </w:p>
    <w:p>
      <w:pPr>
        <w:spacing w:before="156"/>
        <w:ind w:left="480" w:leftChars="200" w:firstLine="480" w:firstLineChars="200"/>
        <w:rPr>
          <w:rFonts w:hint="eastAsia" w:ascii="宋体" w:hAnsi="宋体" w:eastAsia="宋体" w:cs="宋体"/>
          <w:sz w:val="24"/>
        </w:rPr>
      </w:pPr>
      <w:r>
        <w:rPr>
          <w:rFonts w:hint="eastAsia" w:ascii="宋体" w:hAnsi="宋体" w:eastAsia="宋体" w:cs="宋体"/>
          <w:sz w:val="24"/>
          <w:lang w:eastAsia="zh-CN"/>
        </w:rPr>
        <w:t>服务方</w:t>
      </w:r>
      <w:r>
        <w:rPr>
          <w:rFonts w:hint="eastAsia" w:ascii="宋体" w:hAnsi="宋体" w:eastAsia="宋体" w:cs="宋体"/>
          <w:sz w:val="24"/>
        </w:rPr>
        <w:t>应为</w:t>
      </w:r>
      <w:r>
        <w:rPr>
          <w:rFonts w:hint="eastAsia" w:ascii="宋体" w:hAnsi="宋体" w:eastAsia="宋体" w:cs="宋体"/>
          <w:sz w:val="24"/>
          <w:lang w:eastAsia="zh-CN"/>
        </w:rPr>
        <w:t>院方</w:t>
      </w:r>
      <w:r>
        <w:rPr>
          <w:rFonts w:hint="eastAsia" w:ascii="宋体" w:hAnsi="宋体" w:eastAsia="宋体" w:cs="宋体"/>
          <w:sz w:val="24"/>
        </w:rPr>
        <w:t>进行培训，包括使用培训和维护培训。</w:t>
      </w:r>
    </w:p>
    <w:p>
      <w:pPr>
        <w:spacing w:before="156"/>
        <w:ind w:left="480" w:leftChars="200" w:firstLine="480" w:firstLineChars="200"/>
        <w:rPr>
          <w:rFonts w:hint="eastAsia" w:ascii="宋体" w:hAnsi="宋体" w:eastAsia="宋体" w:cs="宋体"/>
          <w:sz w:val="24"/>
        </w:rPr>
      </w:pPr>
      <w:r>
        <w:rPr>
          <w:rFonts w:hint="eastAsia" w:ascii="宋体" w:hAnsi="宋体" w:eastAsia="宋体" w:cs="宋体"/>
          <w:sz w:val="24"/>
          <w:szCs w:val="21"/>
          <w:lang w:eastAsia="zh-CN"/>
        </w:rPr>
        <w:t>服务方</w:t>
      </w:r>
      <w:r>
        <w:rPr>
          <w:rFonts w:hint="eastAsia" w:ascii="宋体" w:hAnsi="宋体" w:eastAsia="宋体" w:cs="宋体"/>
          <w:sz w:val="24"/>
          <w:szCs w:val="21"/>
        </w:rPr>
        <w:t>应提出详细的培训计划，提供培训教材。技术培训的内容必须覆盖产品的安装、日常操作和管理维护，以及基本的故障诊断与排错。包括数据库与开发技术培训、系统维护培训、高级用户培训、用户培训，并保证培训效果。</w:t>
      </w:r>
    </w:p>
    <w:p>
      <w:pPr>
        <w:pStyle w:val="10"/>
        <w:numPr>
          <w:ilvl w:val="0"/>
          <w:numId w:val="28"/>
        </w:numPr>
        <w:tabs>
          <w:tab w:val="left" w:pos="420"/>
        </w:tabs>
        <w:spacing w:before="156"/>
        <w:ind w:left="480" w:leftChars="200" w:firstLine="482" w:firstLineChars="200"/>
        <w:jc w:val="left"/>
        <w:rPr>
          <w:rFonts w:hint="eastAsia" w:ascii="宋体" w:hAnsi="宋体" w:eastAsia="宋体" w:cs="宋体"/>
          <w:sz w:val="24"/>
          <w:szCs w:val="24"/>
        </w:rPr>
      </w:pPr>
      <w:r>
        <w:rPr>
          <w:rFonts w:hint="eastAsia" w:ascii="宋体" w:hAnsi="宋体" w:eastAsia="宋体" w:cs="宋体"/>
          <w:sz w:val="24"/>
          <w:szCs w:val="24"/>
        </w:rPr>
        <w:t>技术支持服务</w:t>
      </w:r>
    </w:p>
    <w:p>
      <w:pPr>
        <w:numPr>
          <w:ilvl w:val="0"/>
          <w:numId w:val="30"/>
        </w:numPr>
        <w:spacing w:before="156"/>
        <w:ind w:left="425" w:firstLine="480" w:firstLineChars="200"/>
        <w:rPr>
          <w:rFonts w:hint="eastAsia" w:ascii="宋体" w:hAnsi="宋体" w:eastAsia="宋体" w:cs="宋体"/>
          <w:sz w:val="24"/>
        </w:rPr>
      </w:pPr>
      <w:r>
        <w:rPr>
          <w:rFonts w:hint="eastAsia" w:ascii="宋体" w:hAnsi="宋体" w:eastAsia="宋体" w:cs="宋体"/>
          <w:sz w:val="24"/>
        </w:rPr>
        <w:t>在免费维护期内，</w:t>
      </w:r>
      <w:r>
        <w:rPr>
          <w:rFonts w:hint="eastAsia" w:ascii="宋体" w:hAnsi="宋体" w:eastAsia="宋体" w:cs="宋体"/>
          <w:sz w:val="24"/>
          <w:lang w:eastAsia="zh-CN"/>
        </w:rPr>
        <w:t>服务方</w:t>
      </w:r>
      <w:r>
        <w:rPr>
          <w:rFonts w:hint="eastAsia" w:ascii="宋体" w:hAnsi="宋体" w:eastAsia="宋体" w:cs="宋体"/>
          <w:sz w:val="24"/>
        </w:rPr>
        <w:t>提供技术支持和指导，以及软件的局部改进完善以及故障情况下的现场问题解决。</w:t>
      </w:r>
    </w:p>
    <w:p>
      <w:pPr>
        <w:numPr>
          <w:ilvl w:val="0"/>
          <w:numId w:val="30"/>
        </w:numPr>
        <w:spacing w:before="156"/>
        <w:ind w:left="425" w:firstLine="480" w:firstLineChars="200"/>
        <w:rPr>
          <w:rFonts w:hint="eastAsia" w:ascii="宋体" w:hAnsi="宋体" w:eastAsia="宋体" w:cs="宋体"/>
          <w:sz w:val="24"/>
        </w:rPr>
      </w:pPr>
      <w:r>
        <w:rPr>
          <w:rFonts w:hint="eastAsia" w:ascii="宋体" w:hAnsi="宋体" w:eastAsia="宋体" w:cs="宋体"/>
          <w:sz w:val="24"/>
          <w:lang w:eastAsia="zh-CN"/>
        </w:rPr>
        <w:t>服务方</w:t>
      </w:r>
      <w:r>
        <w:rPr>
          <w:rFonts w:hint="eastAsia" w:ascii="宋体" w:hAnsi="宋体" w:eastAsia="宋体" w:cs="宋体"/>
          <w:sz w:val="24"/>
        </w:rPr>
        <w:t>7*24小时服务热线，安排合格的技术工程师提供技术热线。</w:t>
      </w:r>
    </w:p>
    <w:p>
      <w:pPr>
        <w:numPr>
          <w:ilvl w:val="0"/>
          <w:numId w:val="30"/>
        </w:numPr>
        <w:spacing w:before="156"/>
        <w:ind w:left="425" w:firstLine="480" w:firstLineChars="200"/>
        <w:rPr>
          <w:rFonts w:hint="eastAsia" w:ascii="宋体" w:hAnsi="宋体" w:eastAsia="宋体" w:cs="宋体"/>
          <w:sz w:val="24"/>
          <w:szCs w:val="21"/>
        </w:rPr>
      </w:pPr>
      <w:bookmarkStart w:id="3" w:name="_Hlk516418580"/>
      <w:r>
        <w:rPr>
          <w:rFonts w:hint="eastAsia" w:ascii="宋体" w:hAnsi="宋体" w:eastAsia="宋体" w:cs="宋体"/>
          <w:sz w:val="24"/>
        </w:rPr>
        <w:t>如果项目实施产出物或项目在质保期内出现一般性故障，</w:t>
      </w:r>
      <w:r>
        <w:rPr>
          <w:rFonts w:hint="eastAsia" w:ascii="宋体" w:hAnsi="宋体" w:eastAsia="宋体" w:cs="宋体"/>
          <w:sz w:val="24"/>
          <w:lang w:eastAsia="zh-CN"/>
        </w:rPr>
        <w:t>服务方</w:t>
      </w:r>
      <w:r>
        <w:rPr>
          <w:rFonts w:hint="eastAsia" w:ascii="宋体" w:hAnsi="宋体" w:eastAsia="宋体" w:cs="宋体"/>
          <w:sz w:val="24"/>
        </w:rPr>
        <w:t>应在接到</w:t>
      </w:r>
      <w:r>
        <w:rPr>
          <w:rFonts w:hint="eastAsia" w:ascii="宋体" w:hAnsi="宋体" w:eastAsia="宋体" w:cs="宋体"/>
          <w:sz w:val="24"/>
          <w:lang w:eastAsia="zh-CN"/>
        </w:rPr>
        <w:t>院方</w:t>
      </w:r>
      <w:r>
        <w:rPr>
          <w:rFonts w:hint="eastAsia" w:ascii="宋体" w:hAnsi="宋体" w:eastAsia="宋体" w:cs="宋体"/>
          <w:sz w:val="24"/>
        </w:rPr>
        <w:t>报修通知内</w:t>
      </w:r>
      <w:r>
        <w:rPr>
          <w:rFonts w:hint="eastAsia" w:ascii="宋体" w:hAnsi="宋体" w:eastAsia="宋体" w:cs="宋体"/>
          <w:sz w:val="24"/>
          <w:szCs w:val="24"/>
          <w:u w:val="single"/>
        </w:rPr>
        <w:t>0.5</w:t>
      </w:r>
      <w:r>
        <w:rPr>
          <w:rFonts w:hint="eastAsia" w:ascii="宋体" w:hAnsi="宋体" w:eastAsia="宋体" w:cs="宋体"/>
          <w:sz w:val="24"/>
        </w:rPr>
        <w:t>小时内（含本数）做出处理响应；如果项目实施产出物或项目在质保期内出现重大故障，</w:t>
      </w:r>
      <w:r>
        <w:rPr>
          <w:rFonts w:hint="eastAsia" w:ascii="宋体" w:hAnsi="宋体" w:eastAsia="宋体" w:cs="宋体"/>
          <w:sz w:val="24"/>
          <w:lang w:eastAsia="zh-CN"/>
        </w:rPr>
        <w:t>服务方</w:t>
      </w:r>
      <w:r>
        <w:rPr>
          <w:rFonts w:hint="eastAsia" w:ascii="宋体" w:hAnsi="宋体" w:eastAsia="宋体" w:cs="宋体"/>
          <w:sz w:val="24"/>
        </w:rPr>
        <w:t>应立即派遣工程技术人员用最快捷的交通工具在</w:t>
      </w:r>
      <w:r>
        <w:rPr>
          <w:rFonts w:hint="eastAsia" w:ascii="宋体" w:hAnsi="宋体" w:eastAsia="宋体" w:cs="宋体"/>
          <w:sz w:val="24"/>
          <w:szCs w:val="24"/>
          <w:u w:val="single"/>
        </w:rPr>
        <w:t>1</w:t>
      </w:r>
      <w:r>
        <w:rPr>
          <w:rFonts w:hint="eastAsia" w:ascii="宋体" w:hAnsi="宋体" w:eastAsia="宋体" w:cs="宋体"/>
          <w:sz w:val="24"/>
        </w:rPr>
        <w:t>小时内（含本数）往达现场处理。</w:t>
      </w:r>
      <w:r>
        <w:rPr>
          <w:rFonts w:hint="eastAsia" w:ascii="宋体" w:hAnsi="宋体" w:eastAsia="宋体" w:cs="宋体"/>
          <w:sz w:val="24"/>
          <w:lang w:eastAsia="zh-CN"/>
        </w:rPr>
        <w:t>服务方</w:t>
      </w:r>
      <w:r>
        <w:rPr>
          <w:rFonts w:hint="eastAsia" w:ascii="宋体" w:hAnsi="宋体" w:eastAsia="宋体" w:cs="宋体"/>
          <w:sz w:val="24"/>
        </w:rPr>
        <w:t>需</w:t>
      </w:r>
      <w:r>
        <w:rPr>
          <w:rFonts w:hint="eastAsia" w:ascii="宋体" w:hAnsi="宋体" w:eastAsia="宋体" w:cs="宋体"/>
          <w:sz w:val="24"/>
          <w:szCs w:val="21"/>
        </w:rPr>
        <w:t>提出解决方案，工作至故障修妥完全恢复正常服务为止，修复时间不超过</w:t>
      </w:r>
      <w:r>
        <w:rPr>
          <w:rFonts w:hint="eastAsia" w:ascii="宋体" w:hAnsi="宋体" w:eastAsia="宋体" w:cs="宋体"/>
          <w:sz w:val="24"/>
          <w:szCs w:val="21"/>
          <w:u w:val="single"/>
        </w:rPr>
        <w:t>2</w:t>
      </w:r>
      <w:r>
        <w:rPr>
          <w:rFonts w:hint="eastAsia" w:ascii="宋体" w:hAnsi="宋体" w:eastAsia="宋体" w:cs="宋体"/>
          <w:sz w:val="24"/>
          <w:szCs w:val="21"/>
        </w:rPr>
        <w:t>个工作日。</w:t>
      </w:r>
    </w:p>
    <w:bookmarkEnd w:id="3"/>
    <w:p>
      <w:pPr>
        <w:numPr>
          <w:ilvl w:val="0"/>
          <w:numId w:val="30"/>
        </w:numPr>
        <w:spacing w:before="156"/>
        <w:ind w:left="425" w:firstLine="480" w:firstLineChars="200"/>
        <w:rPr>
          <w:rFonts w:hint="eastAsia" w:ascii="宋体" w:hAnsi="宋体" w:eastAsia="宋体" w:cs="宋体"/>
          <w:sz w:val="24"/>
        </w:rPr>
      </w:pPr>
      <w:r>
        <w:rPr>
          <w:rFonts w:hint="eastAsia" w:ascii="宋体" w:hAnsi="宋体" w:eastAsia="宋体" w:cs="宋体"/>
          <w:sz w:val="24"/>
          <w:lang w:eastAsia="zh-CN"/>
        </w:rPr>
        <w:t>服务方</w:t>
      </w:r>
      <w:r>
        <w:rPr>
          <w:rFonts w:hint="eastAsia" w:ascii="宋体" w:hAnsi="宋体" w:eastAsia="宋体" w:cs="宋体"/>
          <w:sz w:val="24"/>
        </w:rPr>
        <w:t>应作出无推诿承诺。即</w:t>
      </w:r>
      <w:r>
        <w:rPr>
          <w:rFonts w:hint="eastAsia" w:ascii="宋体" w:hAnsi="宋体" w:eastAsia="宋体" w:cs="宋体"/>
          <w:sz w:val="24"/>
          <w:lang w:eastAsia="zh-CN"/>
        </w:rPr>
        <w:t>服务方</w:t>
      </w:r>
      <w:r>
        <w:rPr>
          <w:rFonts w:hint="eastAsia" w:ascii="宋体" w:hAnsi="宋体" w:eastAsia="宋体" w:cs="宋体"/>
          <w:sz w:val="24"/>
        </w:rPr>
        <w:t>在收到</w:t>
      </w:r>
      <w:r>
        <w:rPr>
          <w:rFonts w:hint="eastAsia" w:ascii="宋体" w:hAnsi="宋体" w:eastAsia="宋体" w:cs="宋体"/>
          <w:sz w:val="24"/>
          <w:lang w:eastAsia="zh-CN"/>
        </w:rPr>
        <w:t>院方</w:t>
      </w:r>
      <w:r>
        <w:rPr>
          <w:rFonts w:hint="eastAsia" w:ascii="宋体" w:hAnsi="宋体" w:eastAsia="宋体" w:cs="宋体"/>
          <w:sz w:val="24"/>
        </w:rPr>
        <w:t>报修通知及要求后，须立即派技术人员到场，全力协助、使系统尽快恢复正常。</w:t>
      </w:r>
    </w:p>
    <w:p>
      <w:pPr>
        <w:numPr>
          <w:ilvl w:val="0"/>
          <w:numId w:val="30"/>
        </w:numPr>
        <w:spacing w:before="156"/>
        <w:ind w:left="425" w:firstLine="480" w:firstLineChars="200"/>
        <w:rPr>
          <w:rFonts w:hint="eastAsia" w:ascii="宋体" w:hAnsi="宋体" w:eastAsia="宋体" w:cs="宋体"/>
          <w:sz w:val="24"/>
        </w:rPr>
      </w:pPr>
      <w:r>
        <w:rPr>
          <w:rFonts w:hint="eastAsia" w:ascii="宋体" w:hAnsi="宋体" w:eastAsia="宋体" w:cs="宋体"/>
          <w:sz w:val="24"/>
        </w:rPr>
        <w:t>超过免费维护期的，双方另行协商签订维护合同，</w:t>
      </w:r>
      <w:r>
        <w:rPr>
          <w:rFonts w:hint="eastAsia" w:ascii="宋体" w:hAnsi="宋体" w:eastAsia="宋体" w:cs="宋体"/>
          <w:sz w:val="24"/>
          <w:lang w:eastAsia="zh-CN"/>
        </w:rPr>
        <w:t>服务方</w:t>
      </w:r>
      <w:r>
        <w:rPr>
          <w:rFonts w:hint="eastAsia" w:ascii="宋体" w:hAnsi="宋体" w:eastAsia="宋体" w:cs="宋体"/>
          <w:sz w:val="24"/>
        </w:rPr>
        <w:t>报价不超过合同软件部分金额的__</w:t>
      </w:r>
      <w:r>
        <w:rPr>
          <w:rFonts w:hint="eastAsia" w:ascii="宋体" w:hAnsi="宋体" w:eastAsia="宋体" w:cs="宋体"/>
          <w:sz w:val="24"/>
          <w:lang w:val="en-US" w:eastAsia="zh-CN"/>
        </w:rPr>
        <w:t>8</w:t>
      </w:r>
      <w:r>
        <w:rPr>
          <w:rFonts w:hint="eastAsia" w:ascii="宋体" w:hAnsi="宋体" w:eastAsia="宋体" w:cs="宋体"/>
          <w:sz w:val="24"/>
        </w:rPr>
        <w:t>__%。</w:t>
      </w:r>
    </w:p>
    <w:p>
      <w:pPr>
        <w:numPr>
          <w:ilvl w:val="0"/>
          <w:numId w:val="30"/>
        </w:numPr>
        <w:spacing w:before="156"/>
        <w:ind w:left="425" w:firstLine="480" w:firstLineChars="200"/>
        <w:rPr>
          <w:rFonts w:hint="eastAsia" w:ascii="宋体" w:hAnsi="宋体" w:eastAsia="宋体" w:cs="宋体"/>
          <w:sz w:val="24"/>
        </w:rPr>
      </w:pPr>
      <w:r>
        <w:rPr>
          <w:rFonts w:hint="eastAsia" w:ascii="宋体" w:hAnsi="宋体" w:eastAsia="宋体" w:cs="宋体"/>
          <w:sz w:val="24"/>
          <w:lang w:eastAsia="zh-CN"/>
        </w:rPr>
        <w:t>服务方</w:t>
      </w:r>
      <w:r>
        <w:rPr>
          <w:rFonts w:hint="eastAsia" w:ascii="宋体" w:hAnsi="宋体" w:eastAsia="宋体" w:cs="宋体"/>
          <w:sz w:val="24"/>
        </w:rPr>
        <w:t xml:space="preserve">须有完整的维护记录管理，确保所有问题提出及处理有记录，有供双方共同记录反馈的简捷的操作方式，达到经双方确认真实可信，可跟踪问题解决情况，查询所有维护记录，并可作为验收依据。 </w:t>
      </w:r>
    </w:p>
    <w:p>
      <w:pPr>
        <w:numPr>
          <w:ilvl w:val="0"/>
          <w:numId w:val="30"/>
        </w:numPr>
        <w:spacing w:before="156"/>
        <w:ind w:left="425"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服务方</w:t>
      </w:r>
      <w:r>
        <w:rPr>
          <w:rFonts w:hint="eastAsia" w:ascii="宋体" w:hAnsi="宋体" w:eastAsia="宋体" w:cs="宋体"/>
          <w:sz w:val="24"/>
          <w:szCs w:val="24"/>
        </w:rPr>
        <w:t>需根据</w:t>
      </w:r>
      <w:r>
        <w:rPr>
          <w:rFonts w:hint="eastAsia" w:ascii="宋体" w:hAnsi="宋体" w:eastAsia="宋体" w:cs="宋体"/>
          <w:sz w:val="24"/>
          <w:szCs w:val="24"/>
          <w:lang w:eastAsia="zh-CN"/>
        </w:rPr>
        <w:t>院方</w:t>
      </w:r>
      <w:r>
        <w:rPr>
          <w:rFonts w:hint="eastAsia" w:ascii="宋体" w:hAnsi="宋体" w:eastAsia="宋体" w:cs="宋体"/>
          <w:sz w:val="24"/>
          <w:szCs w:val="24"/>
        </w:rPr>
        <w:t>要求，安排维护人员使用</w:t>
      </w:r>
      <w:r>
        <w:rPr>
          <w:rFonts w:hint="eastAsia" w:ascii="宋体" w:hAnsi="宋体" w:eastAsia="宋体" w:cs="宋体"/>
          <w:sz w:val="24"/>
          <w:szCs w:val="24"/>
          <w:lang w:eastAsia="zh-CN"/>
        </w:rPr>
        <w:t>院方</w:t>
      </w:r>
      <w:r>
        <w:rPr>
          <w:rFonts w:hint="eastAsia" w:ascii="宋体" w:hAnsi="宋体" w:eastAsia="宋体" w:cs="宋体"/>
          <w:sz w:val="24"/>
          <w:szCs w:val="24"/>
        </w:rPr>
        <w:t>项目管理平台系统中的需求管理模块和缺陷（报障）管理模块，接收</w:t>
      </w:r>
      <w:r>
        <w:rPr>
          <w:rFonts w:hint="eastAsia" w:ascii="宋体" w:hAnsi="宋体" w:eastAsia="宋体" w:cs="宋体"/>
          <w:sz w:val="24"/>
          <w:szCs w:val="24"/>
          <w:lang w:eastAsia="zh-CN"/>
        </w:rPr>
        <w:t>院方</w:t>
      </w:r>
      <w:r>
        <w:rPr>
          <w:rFonts w:hint="eastAsia" w:ascii="宋体" w:hAnsi="宋体" w:eastAsia="宋体" w:cs="宋体"/>
          <w:sz w:val="24"/>
          <w:szCs w:val="24"/>
        </w:rPr>
        <w:t>相关报障及需求信息，并反馈相应处理信息，该维护记录可作为维保履约证明。</w:t>
      </w:r>
    </w:p>
    <w:p>
      <w:pPr>
        <w:numPr>
          <w:ilvl w:val="0"/>
          <w:numId w:val="30"/>
        </w:numPr>
        <w:spacing w:before="156"/>
        <w:ind w:left="425" w:firstLine="480" w:firstLineChars="200"/>
        <w:rPr>
          <w:rFonts w:hint="eastAsia" w:ascii="宋体" w:hAnsi="宋体" w:eastAsia="宋体" w:cs="宋体"/>
          <w:sz w:val="24"/>
          <w:szCs w:val="24"/>
        </w:rPr>
      </w:pPr>
      <w:r>
        <w:rPr>
          <w:rFonts w:hint="eastAsia" w:ascii="宋体" w:hAnsi="宋体" w:eastAsia="宋体" w:cs="宋体"/>
          <w:sz w:val="24"/>
          <w:szCs w:val="24"/>
        </w:rPr>
        <w:t>定期（每月）进行系统巡检，对系统运行的软硬件情况（尤其是数据库环境）进行监控，并出具巡检报告，针对潜在的风险应提供解决方案并实施。</w:t>
      </w:r>
    </w:p>
    <w:p>
      <w:pPr>
        <w:pStyle w:val="10"/>
        <w:numPr>
          <w:ilvl w:val="0"/>
          <w:numId w:val="28"/>
        </w:numPr>
        <w:tabs>
          <w:tab w:val="left" w:pos="420"/>
        </w:tabs>
        <w:spacing w:before="156"/>
        <w:ind w:left="480" w:leftChars="200" w:firstLine="482" w:firstLineChars="200"/>
        <w:jc w:val="left"/>
        <w:rPr>
          <w:rFonts w:hint="eastAsia" w:ascii="宋体" w:hAnsi="宋体" w:eastAsia="宋体" w:cs="宋体"/>
          <w:sz w:val="24"/>
          <w:szCs w:val="24"/>
        </w:rPr>
      </w:pPr>
      <w:r>
        <w:rPr>
          <w:rFonts w:hint="eastAsia" w:ascii="宋体" w:hAnsi="宋体" w:eastAsia="宋体" w:cs="宋体"/>
          <w:sz w:val="24"/>
          <w:szCs w:val="24"/>
        </w:rPr>
        <w:t>提供详细的维护人员清单</w:t>
      </w:r>
    </w:p>
    <w:p>
      <w:pPr>
        <w:numPr>
          <w:ilvl w:val="0"/>
          <w:numId w:val="31"/>
        </w:numPr>
        <w:spacing w:before="156"/>
        <w:ind w:left="425"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服务方</w:t>
      </w:r>
      <w:r>
        <w:rPr>
          <w:rFonts w:hint="eastAsia" w:ascii="宋体" w:hAnsi="宋体" w:eastAsia="宋体" w:cs="宋体"/>
          <w:sz w:val="24"/>
          <w:szCs w:val="24"/>
        </w:rPr>
        <w:t>能为</w:t>
      </w:r>
      <w:r>
        <w:rPr>
          <w:rFonts w:hint="eastAsia" w:ascii="宋体" w:hAnsi="宋体" w:eastAsia="宋体" w:cs="宋体"/>
          <w:sz w:val="24"/>
          <w:szCs w:val="24"/>
          <w:lang w:eastAsia="zh-CN"/>
        </w:rPr>
        <w:t>院方</w:t>
      </w:r>
      <w:r>
        <w:rPr>
          <w:rFonts w:hint="eastAsia" w:ascii="宋体" w:hAnsi="宋体" w:eastAsia="宋体" w:cs="宋体"/>
          <w:sz w:val="24"/>
          <w:szCs w:val="24"/>
        </w:rPr>
        <w:t>提供维护及服务的部门及固定的专职技术人员。</w:t>
      </w:r>
    </w:p>
    <w:p>
      <w:pPr>
        <w:numPr>
          <w:ilvl w:val="0"/>
          <w:numId w:val="31"/>
        </w:numPr>
        <w:spacing w:before="156"/>
        <w:ind w:left="425" w:firstLine="480" w:firstLineChars="200"/>
        <w:rPr>
          <w:rFonts w:hint="eastAsia" w:ascii="宋体" w:hAnsi="宋体" w:eastAsia="宋体" w:cs="宋体"/>
          <w:sz w:val="24"/>
          <w:szCs w:val="24"/>
        </w:rPr>
      </w:pPr>
      <w:r>
        <w:rPr>
          <w:rFonts w:hint="eastAsia" w:ascii="宋体" w:hAnsi="宋体" w:eastAsia="宋体" w:cs="宋体"/>
          <w:sz w:val="24"/>
          <w:szCs w:val="24"/>
        </w:rPr>
        <w:t>免费维保期内</w:t>
      </w:r>
      <w:r>
        <w:rPr>
          <w:rFonts w:hint="eastAsia" w:ascii="宋体" w:hAnsi="宋体" w:eastAsia="宋体" w:cs="宋体"/>
          <w:sz w:val="24"/>
          <w:szCs w:val="24"/>
          <w:lang w:eastAsia="zh-CN"/>
        </w:rPr>
        <w:t>服务方</w:t>
      </w:r>
      <w:r>
        <w:rPr>
          <w:rFonts w:hint="eastAsia" w:ascii="宋体" w:hAnsi="宋体" w:eastAsia="宋体" w:cs="宋体"/>
          <w:sz w:val="24"/>
          <w:szCs w:val="24"/>
        </w:rPr>
        <w:t>提供专职工程师</w:t>
      </w:r>
      <w:r>
        <w:rPr>
          <w:rFonts w:hint="eastAsia" w:cs="宋体"/>
          <w:sz w:val="24"/>
          <w:szCs w:val="24"/>
          <w:u w:val="single"/>
          <w:lang w:val="en-US" w:eastAsia="zh-CN"/>
        </w:rPr>
        <w:t>5</w:t>
      </w:r>
      <w:r>
        <w:rPr>
          <w:rFonts w:hint="eastAsia" w:ascii="宋体" w:hAnsi="宋体" w:eastAsia="宋体" w:cs="宋体"/>
          <w:sz w:val="24"/>
          <w:szCs w:val="24"/>
        </w:rPr>
        <w:t>名驻扎本院，工作时间与</w:t>
      </w:r>
      <w:r>
        <w:rPr>
          <w:rFonts w:hint="eastAsia" w:ascii="宋体" w:hAnsi="宋体" w:eastAsia="宋体" w:cs="宋体"/>
          <w:sz w:val="24"/>
          <w:szCs w:val="24"/>
          <w:lang w:eastAsia="zh-CN"/>
        </w:rPr>
        <w:t>院方</w:t>
      </w:r>
      <w:r>
        <w:rPr>
          <w:rFonts w:hint="eastAsia" w:ascii="宋体" w:hAnsi="宋体" w:eastAsia="宋体" w:cs="宋体"/>
          <w:sz w:val="24"/>
          <w:szCs w:val="24"/>
        </w:rPr>
        <w:t>工作时间一致，并且提供7*24小时响应服务。</w:t>
      </w:r>
    </w:p>
    <w:p>
      <w:pPr>
        <w:numPr>
          <w:ilvl w:val="0"/>
          <w:numId w:val="31"/>
        </w:numPr>
        <w:spacing w:before="156"/>
        <w:ind w:left="425" w:firstLine="480" w:firstLineChars="200"/>
        <w:rPr>
          <w:rFonts w:hint="eastAsia" w:ascii="宋体" w:hAnsi="宋体" w:eastAsia="宋体" w:cs="宋体"/>
          <w:sz w:val="24"/>
          <w:szCs w:val="24"/>
        </w:rPr>
      </w:pPr>
      <w:r>
        <w:rPr>
          <w:rFonts w:hint="eastAsia" w:ascii="宋体" w:hAnsi="宋体" w:eastAsia="宋体" w:cs="宋体"/>
          <w:sz w:val="24"/>
          <w:szCs w:val="24"/>
        </w:rPr>
        <w:t>维保人员的资质要求，在</w:t>
      </w:r>
      <w:r>
        <w:rPr>
          <w:rFonts w:hint="eastAsia" w:ascii="宋体" w:hAnsi="宋体" w:eastAsia="宋体" w:cs="宋体"/>
          <w:sz w:val="24"/>
          <w:szCs w:val="24"/>
          <w:lang w:eastAsia="zh-CN"/>
        </w:rPr>
        <w:t>服务方</w:t>
      </w:r>
      <w:r>
        <w:rPr>
          <w:rFonts w:hint="eastAsia" w:ascii="宋体" w:hAnsi="宋体" w:eastAsia="宋体" w:cs="宋体"/>
          <w:sz w:val="24"/>
          <w:szCs w:val="24"/>
        </w:rPr>
        <w:t>工作时间大于1年，具有相关项目实施或维护经历，如</w:t>
      </w:r>
      <w:r>
        <w:rPr>
          <w:rFonts w:hint="eastAsia" w:ascii="宋体" w:hAnsi="宋体" w:eastAsia="宋体" w:cs="宋体"/>
          <w:sz w:val="24"/>
          <w:szCs w:val="24"/>
          <w:lang w:eastAsia="zh-CN"/>
        </w:rPr>
        <w:t>院方</w:t>
      </w:r>
      <w:r>
        <w:rPr>
          <w:rFonts w:hint="eastAsia" w:ascii="宋体" w:hAnsi="宋体" w:eastAsia="宋体" w:cs="宋体"/>
          <w:sz w:val="24"/>
          <w:szCs w:val="24"/>
        </w:rPr>
        <w:t>对维保人员不满意，</w:t>
      </w:r>
      <w:r>
        <w:rPr>
          <w:rFonts w:hint="eastAsia" w:ascii="宋体" w:hAnsi="宋体" w:eastAsia="宋体" w:cs="宋体"/>
          <w:sz w:val="24"/>
          <w:szCs w:val="24"/>
          <w:lang w:eastAsia="zh-CN"/>
        </w:rPr>
        <w:t>服务方</w:t>
      </w:r>
      <w:r>
        <w:rPr>
          <w:rFonts w:hint="eastAsia" w:ascii="宋体" w:hAnsi="宋体" w:eastAsia="宋体" w:cs="宋体"/>
          <w:sz w:val="24"/>
          <w:szCs w:val="24"/>
        </w:rPr>
        <w:t>应无条件重新安排人员。</w:t>
      </w:r>
    </w:p>
    <w:p>
      <w:pPr>
        <w:numPr>
          <w:ilvl w:val="0"/>
          <w:numId w:val="31"/>
        </w:numPr>
        <w:spacing w:before="156"/>
        <w:ind w:left="425"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服务方</w:t>
      </w:r>
      <w:r>
        <w:rPr>
          <w:rFonts w:hint="eastAsia" w:ascii="宋体" w:hAnsi="宋体" w:eastAsia="宋体" w:cs="宋体"/>
          <w:sz w:val="24"/>
          <w:szCs w:val="24"/>
        </w:rPr>
        <w:t>须向</w:t>
      </w:r>
      <w:r>
        <w:rPr>
          <w:rFonts w:hint="eastAsia" w:ascii="宋体" w:hAnsi="宋体" w:eastAsia="宋体" w:cs="宋体"/>
          <w:sz w:val="24"/>
          <w:szCs w:val="24"/>
          <w:lang w:eastAsia="zh-CN"/>
        </w:rPr>
        <w:t>院方</w:t>
      </w:r>
      <w:r>
        <w:rPr>
          <w:rFonts w:hint="eastAsia" w:ascii="宋体" w:hAnsi="宋体" w:eastAsia="宋体" w:cs="宋体"/>
          <w:sz w:val="24"/>
          <w:szCs w:val="24"/>
        </w:rPr>
        <w:t>提供上述维护人员清单及其联系方式，确保</w:t>
      </w:r>
      <w:r>
        <w:rPr>
          <w:rFonts w:hint="eastAsia" w:ascii="宋体" w:hAnsi="宋体" w:eastAsia="宋体" w:cs="宋体"/>
          <w:sz w:val="24"/>
          <w:szCs w:val="24"/>
          <w:lang w:eastAsia="zh-CN"/>
        </w:rPr>
        <w:t>院方</w:t>
      </w:r>
      <w:r>
        <w:rPr>
          <w:rFonts w:hint="eastAsia" w:ascii="宋体" w:hAnsi="宋体" w:eastAsia="宋体" w:cs="宋体"/>
          <w:sz w:val="24"/>
          <w:szCs w:val="24"/>
        </w:rPr>
        <w:t>随时联系。</w:t>
      </w:r>
    </w:p>
    <w:p>
      <w:pPr>
        <w:pStyle w:val="10"/>
        <w:numPr>
          <w:ilvl w:val="0"/>
          <w:numId w:val="28"/>
        </w:numPr>
        <w:tabs>
          <w:tab w:val="left" w:pos="420"/>
        </w:tabs>
        <w:spacing w:before="156"/>
        <w:ind w:left="480" w:leftChars="200" w:firstLine="482" w:firstLineChars="200"/>
        <w:jc w:val="left"/>
        <w:rPr>
          <w:rFonts w:hint="eastAsia" w:ascii="宋体" w:hAnsi="宋体" w:eastAsia="宋体" w:cs="宋体"/>
          <w:sz w:val="24"/>
          <w:szCs w:val="24"/>
        </w:rPr>
      </w:pPr>
      <w:r>
        <w:rPr>
          <w:rFonts w:hint="eastAsia" w:ascii="宋体" w:hAnsi="宋体" w:eastAsia="宋体" w:cs="宋体"/>
          <w:sz w:val="24"/>
          <w:szCs w:val="24"/>
        </w:rPr>
        <w:t>服务方式</w:t>
      </w:r>
    </w:p>
    <w:p>
      <w:pPr>
        <w:spacing w:before="156"/>
        <w:ind w:left="480" w:leftChars="200" w:firstLine="480" w:firstLineChars="200"/>
        <w:rPr>
          <w:rFonts w:hint="eastAsia" w:ascii="宋体" w:hAnsi="宋体" w:eastAsia="宋体" w:cs="宋体"/>
          <w:sz w:val="24"/>
        </w:rPr>
      </w:pPr>
      <w:r>
        <w:rPr>
          <w:rFonts w:hint="eastAsia" w:ascii="宋体" w:hAnsi="宋体" w:eastAsia="宋体" w:cs="宋体"/>
          <w:sz w:val="24"/>
        </w:rPr>
        <w:t>以现场服务为主，其它电话、邮件指导、远程维护、技术交流方式不限。</w:t>
      </w:r>
    </w:p>
    <w:p>
      <w:pPr>
        <w:spacing w:before="156"/>
        <w:ind w:left="480" w:leftChars="200" w:firstLine="480" w:firstLineChars="200"/>
        <w:rPr>
          <w:rFonts w:hint="eastAsia" w:ascii="宋体" w:hAnsi="宋体" w:eastAsia="宋体" w:cs="宋体"/>
          <w:color w:val="FF0000"/>
          <w:sz w:val="24"/>
        </w:rPr>
      </w:pPr>
    </w:p>
    <w:p>
      <w:pPr>
        <w:rPr>
          <w:rFonts w:hint="eastAsia" w:ascii="宋体" w:hAnsi="宋体" w:eastAsia="宋体" w:cs="宋体"/>
          <w:color w:val="FF0000"/>
          <w:lang w:eastAsia="zh-CN"/>
        </w:rPr>
      </w:pPr>
    </w:p>
    <w:p>
      <w:pPr>
        <w:numPr>
          <w:ilvl w:val="0"/>
          <w:numId w:val="0"/>
        </w:numPr>
        <w:spacing w:line="360" w:lineRule="auto"/>
        <w:ind w:leftChars="200"/>
        <w:rPr>
          <w:rFonts w:asciiTheme="minorEastAsia" w:hAnsiTheme="minorEastAsia" w:eastAsiaTheme="minorEastAsia"/>
          <w:szCs w:val="32"/>
        </w:rPr>
      </w:pPr>
    </w:p>
    <w:p>
      <w:pPr>
        <w:spacing w:line="360" w:lineRule="auto"/>
        <w:rPr>
          <w:rFonts w:asciiTheme="minorEastAsia" w:hAnsiTheme="minorEastAsia" w:eastAsiaTheme="minorEastAsia"/>
          <w:b/>
          <w:sz w:val="32"/>
          <w:szCs w:val="32"/>
        </w:rPr>
      </w:pPr>
    </w:p>
    <w:p>
      <w:pPr>
        <w:spacing w:line="360" w:lineRule="auto"/>
        <w:rPr>
          <w:rFonts w:asciiTheme="minorEastAsia" w:hAnsiTheme="minorEastAsia" w:eastAsiaTheme="minorEastAsia"/>
        </w:rPr>
      </w:pPr>
    </w:p>
    <w:sectPr>
      <w:footerReference r:id="rId3" w:type="default"/>
      <w:pgSz w:w="11906" w:h="16838"/>
      <w:pgMar w:top="1021" w:right="1418" w:bottom="1021"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left="1441"/>
      <w:jc w:val="center"/>
      <w:rPr>
        <w:caps/>
        <w:color w:val="5B9BD5"/>
      </w:rPr>
    </w:pPr>
    <w:r>
      <w:rPr>
        <w:caps/>
        <w:color w:val="5B9BD5"/>
      </w:rPr>
      <w:fldChar w:fldCharType="begin"/>
    </w:r>
    <w:r>
      <w:rPr>
        <w:caps/>
        <w:color w:val="5B9BD5"/>
      </w:rPr>
      <w:instrText xml:space="preserve">PAGE   \* MERGEFORMAT</w:instrText>
    </w:r>
    <w:r>
      <w:rPr>
        <w:caps/>
        <w:color w:val="5B9BD5"/>
      </w:rPr>
      <w:fldChar w:fldCharType="separate"/>
    </w:r>
    <w:r>
      <w:rPr>
        <w:caps/>
        <w:color w:val="5B9BD5"/>
        <w:lang w:val="zh-CN"/>
      </w:rPr>
      <w:t>2</w:t>
    </w:r>
    <w:r>
      <w:rPr>
        <w:caps/>
        <w:color w:val="5B9BD5"/>
      </w:rP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1"/>
    <w:multiLevelType w:val="multilevel"/>
    <w:tmpl w:val="00000011"/>
    <w:lvl w:ilvl="0" w:tentative="0">
      <w:start w:val="1"/>
      <w:numFmt w:val="decimal"/>
      <w:lvlText w:val="%1."/>
      <w:lvlJc w:val="left"/>
      <w:pPr>
        <w:ind w:left="840" w:hanging="420"/>
      </w:pPr>
      <w:rPr>
        <w:rFonts w:hint="eastAsia"/>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1">
    <w:nsid w:val="00000015"/>
    <w:multiLevelType w:val="multilevel"/>
    <w:tmpl w:val="00000015"/>
    <w:lvl w:ilvl="0" w:tentative="0">
      <w:start w:val="1"/>
      <w:numFmt w:val="decimal"/>
      <w:lvlText w:val="%1."/>
      <w:lvlJc w:val="left"/>
      <w:pPr>
        <w:ind w:left="840" w:hanging="420"/>
      </w:pPr>
      <w:rPr>
        <w:rFonts w:hint="eastAsia"/>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
    <w:nsid w:val="00000017"/>
    <w:multiLevelType w:val="multilevel"/>
    <w:tmpl w:val="00000017"/>
    <w:lvl w:ilvl="0" w:tentative="0">
      <w:start w:val="1"/>
      <w:numFmt w:val="decimal"/>
      <w:pStyle w:val="2"/>
      <w:lvlText w:val="%1"/>
      <w:lvlJc w:val="left"/>
      <w:pPr>
        <w:ind w:left="432" w:hanging="432"/>
      </w:pPr>
      <w:rPr>
        <w:rFonts w:hint="eastAsia"/>
      </w:rPr>
    </w:lvl>
    <w:lvl w:ilvl="1" w:tentative="0">
      <w:start w:val="1"/>
      <w:numFmt w:val="decimal"/>
      <w:lvlText w:val="4.%2"/>
      <w:lvlJc w:val="left"/>
      <w:pPr>
        <w:ind w:left="576" w:hanging="576"/>
      </w:pPr>
      <w:rPr>
        <w:rFonts w:hint="eastAsia"/>
      </w:rPr>
    </w:lvl>
    <w:lvl w:ilvl="2" w:tentative="0">
      <w:start w:val="1"/>
      <w:numFmt w:val="decimal"/>
      <w:lvlText w:val="6.2.%3"/>
      <w:lvlJc w:val="left"/>
      <w:pPr>
        <w:ind w:left="720" w:hanging="720"/>
      </w:pPr>
      <w:rPr>
        <w:rFonts w:hint="eastAsia"/>
      </w:rPr>
    </w:lvl>
    <w:lvl w:ilvl="3" w:tentative="0">
      <w:start w:val="1"/>
      <w:numFmt w:val="decimal"/>
      <w:lvlText w:val="5.1.1.%4"/>
      <w:lvlJc w:val="left"/>
      <w:pPr>
        <w:ind w:left="864" w:hanging="864"/>
      </w:pPr>
      <w:rPr>
        <w:rFonts w:hint="eastAsia"/>
      </w:rPr>
    </w:lvl>
    <w:lvl w:ilvl="4" w:tentative="0">
      <w:start w:val="1"/>
      <w:numFmt w:val="decimal"/>
      <w:lvlText w:val="5.1.1.1.%5"/>
      <w:lvlJc w:val="left"/>
      <w:pPr>
        <w:ind w:left="2142"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abstractNum w:abstractNumId="3">
    <w:nsid w:val="00000019"/>
    <w:multiLevelType w:val="multilevel"/>
    <w:tmpl w:val="00000019"/>
    <w:lvl w:ilvl="0" w:tentative="0">
      <w:start w:val="1"/>
      <w:numFmt w:val="decimal"/>
      <w:lvlText w:val="%1."/>
      <w:lvlJc w:val="left"/>
      <w:pPr>
        <w:ind w:left="840" w:hanging="420"/>
      </w:pPr>
      <w:rPr>
        <w:rFonts w:hint="eastAsia"/>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4">
    <w:nsid w:val="0000001A"/>
    <w:multiLevelType w:val="multilevel"/>
    <w:tmpl w:val="0000001A"/>
    <w:lvl w:ilvl="0" w:tentative="0">
      <w:start w:val="1"/>
      <w:numFmt w:val="chineseCountingThousand"/>
      <w:lvlText w:val="%1."/>
      <w:lvlJc w:val="left"/>
      <w:pPr>
        <w:ind w:left="432" w:hanging="432"/>
      </w:pPr>
      <w:rPr>
        <w:rFonts w:hint="eastAsia"/>
        <w:color w:val="auto"/>
        <w:sz w:val="32"/>
        <w:szCs w:val="32"/>
      </w:rPr>
    </w:lvl>
    <w:lvl w:ilvl="1" w:tentative="0">
      <w:start w:val="1"/>
      <w:numFmt w:val="decimal"/>
      <w:lvlText w:val="%1.%2"/>
      <w:lvlJc w:val="left"/>
      <w:pPr>
        <w:ind w:left="576" w:hanging="576"/>
      </w:pPr>
      <w:rPr>
        <w:rFonts w:hint="eastAsia"/>
      </w:rPr>
    </w:lvl>
    <w:lvl w:ilvl="2" w:tentative="0">
      <w:start w:val="1"/>
      <w:numFmt w:val="decimal"/>
      <w:lvlText w:val="%1.%2.%3"/>
      <w:lvlJc w:val="left"/>
      <w:pPr>
        <w:ind w:left="720" w:hanging="720"/>
      </w:pPr>
      <w:rPr>
        <w:rFonts w:hint="eastAsia"/>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abstractNum w:abstractNumId="5">
    <w:nsid w:val="00626EAA"/>
    <w:multiLevelType w:val="multilevel"/>
    <w:tmpl w:val="00626EAA"/>
    <w:lvl w:ilvl="0" w:tentative="0">
      <w:start w:val="1"/>
      <w:numFmt w:val="chineseCountingThousand"/>
      <w:lvlText w:val="%1、"/>
      <w:lvlJc w:val="left"/>
      <w:pPr>
        <w:ind w:left="900" w:hanging="420"/>
      </w:pPr>
      <w:rPr>
        <w:rFonts w:hint="default"/>
      </w:rPr>
    </w:lvl>
    <w:lvl w:ilvl="1" w:tentative="0">
      <w:start w:val="1"/>
      <w:numFmt w:val="lowerLetter"/>
      <w:lvlText w:val="%2)"/>
      <w:lvlJc w:val="left"/>
      <w:pPr>
        <w:ind w:left="1320" w:hanging="420"/>
      </w:pPr>
      <w:rPr>
        <w:rFonts w:hint="eastAsia"/>
      </w:rPr>
    </w:lvl>
    <w:lvl w:ilvl="2" w:tentative="0">
      <w:start w:val="1"/>
      <w:numFmt w:val="lowerRoman"/>
      <w:lvlText w:val="%3."/>
      <w:lvlJc w:val="right"/>
      <w:pPr>
        <w:ind w:left="1740" w:hanging="420"/>
      </w:pPr>
      <w:rPr>
        <w:rFonts w:hint="eastAsia"/>
      </w:rPr>
    </w:lvl>
    <w:lvl w:ilvl="3" w:tentative="0">
      <w:start w:val="1"/>
      <w:numFmt w:val="decimal"/>
      <w:lvlText w:val="%4."/>
      <w:lvlJc w:val="left"/>
      <w:pPr>
        <w:ind w:left="2160" w:hanging="420"/>
      </w:pPr>
      <w:rPr>
        <w:rFonts w:hint="eastAsia"/>
      </w:rPr>
    </w:lvl>
    <w:lvl w:ilvl="4" w:tentative="0">
      <w:start w:val="1"/>
      <w:numFmt w:val="lowerLetter"/>
      <w:lvlText w:val="%5)"/>
      <w:lvlJc w:val="left"/>
      <w:pPr>
        <w:ind w:left="2580" w:hanging="420"/>
      </w:pPr>
      <w:rPr>
        <w:rFonts w:hint="eastAsia"/>
      </w:rPr>
    </w:lvl>
    <w:lvl w:ilvl="5" w:tentative="0">
      <w:start w:val="1"/>
      <w:numFmt w:val="lowerRoman"/>
      <w:lvlText w:val="%6."/>
      <w:lvlJc w:val="right"/>
      <w:pPr>
        <w:ind w:left="3000" w:hanging="420"/>
      </w:pPr>
      <w:rPr>
        <w:rFonts w:hint="eastAsia"/>
      </w:rPr>
    </w:lvl>
    <w:lvl w:ilvl="6" w:tentative="0">
      <w:start w:val="1"/>
      <w:numFmt w:val="decimal"/>
      <w:lvlText w:val="%7."/>
      <w:lvlJc w:val="left"/>
      <w:pPr>
        <w:ind w:left="3420" w:hanging="420"/>
      </w:pPr>
      <w:rPr>
        <w:rFonts w:hint="eastAsia"/>
      </w:rPr>
    </w:lvl>
    <w:lvl w:ilvl="7" w:tentative="0">
      <w:start w:val="1"/>
      <w:numFmt w:val="lowerLetter"/>
      <w:lvlText w:val="%8)"/>
      <w:lvlJc w:val="left"/>
      <w:pPr>
        <w:ind w:left="3840" w:hanging="420"/>
      </w:pPr>
      <w:rPr>
        <w:rFonts w:hint="eastAsia"/>
      </w:rPr>
    </w:lvl>
    <w:lvl w:ilvl="8" w:tentative="0">
      <w:start w:val="1"/>
      <w:numFmt w:val="lowerRoman"/>
      <w:lvlText w:val="%9."/>
      <w:lvlJc w:val="right"/>
      <w:pPr>
        <w:ind w:left="4260" w:hanging="420"/>
      </w:pPr>
      <w:rPr>
        <w:rFonts w:hint="eastAsia"/>
      </w:rPr>
    </w:lvl>
  </w:abstractNum>
  <w:abstractNum w:abstractNumId="6">
    <w:nsid w:val="006A13A0"/>
    <w:multiLevelType w:val="multilevel"/>
    <w:tmpl w:val="006A13A0"/>
    <w:lvl w:ilvl="0" w:tentative="0">
      <w:start w:val="1"/>
      <w:numFmt w:val="chineseCountingThousand"/>
      <w:lvlText w:val="(%1)"/>
      <w:lvlJc w:val="left"/>
      <w:pPr>
        <w:ind w:left="780" w:hanging="360"/>
      </w:pPr>
      <w:rPr>
        <w:rFonts w:hint="default"/>
      </w:rPr>
    </w:lvl>
    <w:lvl w:ilvl="1" w:tentative="0">
      <w:start w:val="8"/>
      <w:numFmt w:val="japaneseCounting"/>
      <w:lvlText w:val="%2、"/>
      <w:lvlJc w:val="left"/>
      <w:pPr>
        <w:tabs>
          <w:tab w:val="left" w:pos="1560"/>
        </w:tabs>
        <w:ind w:left="1560" w:hanging="720"/>
      </w:pPr>
      <w:rPr>
        <w:rFonts w:hint="default"/>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7">
    <w:nsid w:val="04BD77EB"/>
    <w:multiLevelType w:val="multilevel"/>
    <w:tmpl w:val="04BD77EB"/>
    <w:lvl w:ilvl="0" w:tentative="0">
      <w:start w:val="1"/>
      <w:numFmt w:val="decimal"/>
      <w:lvlText w:val="%1)"/>
      <w:lvlJc w:val="left"/>
      <w:pPr>
        <w:ind w:left="1260" w:hanging="420"/>
      </w:pPr>
      <w:rPr>
        <w:rFonts w:hint="default"/>
      </w:rPr>
    </w:lvl>
    <w:lvl w:ilvl="1" w:tentative="0">
      <w:start w:val="1"/>
      <w:numFmt w:val="lowerRoman"/>
      <w:lvlText w:val="%2."/>
      <w:lvlJc w:val="right"/>
      <w:pPr>
        <w:ind w:left="1680" w:hanging="420"/>
      </w:pPr>
      <w:rPr>
        <w:rFonts w:hint="default"/>
      </w:r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8">
    <w:nsid w:val="059E3DDC"/>
    <w:multiLevelType w:val="multilevel"/>
    <w:tmpl w:val="059E3DDC"/>
    <w:lvl w:ilvl="0" w:tentative="0">
      <w:start w:val="1"/>
      <w:numFmt w:val="chineseCountingThousand"/>
      <w:lvlText w:val="%1、"/>
      <w:lvlJc w:val="left"/>
      <w:pPr>
        <w:ind w:left="420" w:hanging="420"/>
      </w:pPr>
      <w:rPr>
        <w:rFonts w:hint="default"/>
      </w:rPr>
    </w:lvl>
    <w:lvl w:ilvl="1" w:tentative="0">
      <w:start w:val="1"/>
      <w:numFmt w:val="lowerLetter"/>
      <w:lvlText w:val="%2)"/>
      <w:lvlJc w:val="left"/>
      <w:pPr>
        <w:ind w:left="1320" w:hanging="420"/>
      </w:pPr>
      <w:rPr>
        <w:rFonts w:hint="eastAsia"/>
      </w:rPr>
    </w:lvl>
    <w:lvl w:ilvl="2" w:tentative="0">
      <w:start w:val="1"/>
      <w:numFmt w:val="lowerRoman"/>
      <w:lvlText w:val="%3."/>
      <w:lvlJc w:val="right"/>
      <w:pPr>
        <w:ind w:left="1740" w:hanging="420"/>
      </w:pPr>
      <w:rPr>
        <w:rFonts w:hint="eastAsia"/>
      </w:rPr>
    </w:lvl>
    <w:lvl w:ilvl="3" w:tentative="0">
      <w:start w:val="1"/>
      <w:numFmt w:val="decimal"/>
      <w:lvlText w:val="%4."/>
      <w:lvlJc w:val="left"/>
      <w:pPr>
        <w:ind w:left="2160" w:hanging="420"/>
      </w:pPr>
      <w:rPr>
        <w:rFonts w:hint="eastAsia"/>
      </w:rPr>
    </w:lvl>
    <w:lvl w:ilvl="4" w:tentative="0">
      <w:start w:val="1"/>
      <w:numFmt w:val="lowerLetter"/>
      <w:lvlText w:val="%5)"/>
      <w:lvlJc w:val="left"/>
      <w:pPr>
        <w:ind w:left="2580" w:hanging="420"/>
      </w:pPr>
      <w:rPr>
        <w:rFonts w:hint="eastAsia"/>
      </w:rPr>
    </w:lvl>
    <w:lvl w:ilvl="5" w:tentative="0">
      <w:start w:val="1"/>
      <w:numFmt w:val="lowerRoman"/>
      <w:lvlText w:val="%6."/>
      <w:lvlJc w:val="right"/>
      <w:pPr>
        <w:ind w:left="3000" w:hanging="420"/>
      </w:pPr>
      <w:rPr>
        <w:rFonts w:hint="eastAsia"/>
      </w:rPr>
    </w:lvl>
    <w:lvl w:ilvl="6" w:tentative="0">
      <w:start w:val="1"/>
      <w:numFmt w:val="decimal"/>
      <w:lvlText w:val="%7."/>
      <w:lvlJc w:val="left"/>
      <w:pPr>
        <w:ind w:left="3420" w:hanging="420"/>
      </w:pPr>
      <w:rPr>
        <w:rFonts w:hint="eastAsia"/>
      </w:rPr>
    </w:lvl>
    <w:lvl w:ilvl="7" w:tentative="0">
      <w:start w:val="1"/>
      <w:numFmt w:val="lowerLetter"/>
      <w:lvlText w:val="%8)"/>
      <w:lvlJc w:val="left"/>
      <w:pPr>
        <w:ind w:left="3840" w:hanging="420"/>
      </w:pPr>
      <w:rPr>
        <w:rFonts w:hint="eastAsia"/>
      </w:rPr>
    </w:lvl>
    <w:lvl w:ilvl="8" w:tentative="0">
      <w:start w:val="1"/>
      <w:numFmt w:val="lowerRoman"/>
      <w:lvlText w:val="%9."/>
      <w:lvlJc w:val="right"/>
      <w:pPr>
        <w:ind w:left="4260" w:hanging="420"/>
      </w:pPr>
      <w:rPr>
        <w:rFonts w:hint="eastAsia"/>
      </w:rPr>
    </w:lvl>
  </w:abstractNum>
  <w:abstractNum w:abstractNumId="9">
    <w:nsid w:val="092F754C"/>
    <w:multiLevelType w:val="multilevel"/>
    <w:tmpl w:val="092F754C"/>
    <w:lvl w:ilvl="0" w:tentative="0">
      <w:start w:val="1"/>
      <w:numFmt w:val="chineseCountingThousand"/>
      <w:lvlText w:val="(%1)"/>
      <w:lvlJc w:val="left"/>
      <w:pPr>
        <w:tabs>
          <w:tab w:val="left" w:pos="780"/>
        </w:tabs>
        <w:ind w:left="780" w:hanging="360"/>
      </w:pPr>
      <w:rPr>
        <w:rFonts w:hint="default"/>
      </w:rPr>
    </w:lvl>
    <w:lvl w:ilvl="1" w:tentative="0">
      <w:start w:val="1"/>
      <w:numFmt w:val="decimal"/>
      <w:lvlText w:val="%2)"/>
      <w:lvlJc w:val="left"/>
      <w:pPr>
        <w:tabs>
          <w:tab w:val="left" w:pos="1260"/>
        </w:tabs>
        <w:ind w:left="1260" w:hanging="420"/>
      </w:pPr>
      <w:rPr>
        <w:rFonts w:hint="default"/>
      </w:r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10">
    <w:nsid w:val="0D0939AC"/>
    <w:multiLevelType w:val="multilevel"/>
    <w:tmpl w:val="0D0939AC"/>
    <w:lvl w:ilvl="0" w:tentative="0">
      <w:start w:val="1"/>
      <w:numFmt w:val="chineseCountingThousand"/>
      <w:lvlText w:val="(%1)"/>
      <w:lvlJc w:val="left"/>
      <w:pPr>
        <w:ind w:left="846" w:hanging="420"/>
      </w:pPr>
    </w:lvl>
    <w:lvl w:ilvl="1" w:tentative="0">
      <w:start w:val="1"/>
      <w:numFmt w:val="lowerLetter"/>
      <w:lvlText w:val="%2)"/>
      <w:lvlJc w:val="left"/>
      <w:pPr>
        <w:ind w:left="1266" w:hanging="420"/>
      </w:pPr>
    </w:lvl>
    <w:lvl w:ilvl="2" w:tentative="0">
      <w:start w:val="1"/>
      <w:numFmt w:val="chineseCountingThousand"/>
      <w:lvlText w:val="(%3)"/>
      <w:lvlJc w:val="lef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11">
    <w:nsid w:val="14D1407B"/>
    <w:multiLevelType w:val="multilevel"/>
    <w:tmpl w:val="14D1407B"/>
    <w:lvl w:ilvl="0" w:tentative="0">
      <w:start w:val="1"/>
      <w:numFmt w:val="lowerRoman"/>
      <w:lvlText w:val="%1."/>
      <w:lvlJc w:val="right"/>
      <w:pPr>
        <w:ind w:left="1683" w:hanging="420"/>
      </w:pPr>
    </w:lvl>
    <w:lvl w:ilvl="1" w:tentative="0">
      <w:start w:val="1"/>
      <w:numFmt w:val="bullet"/>
      <w:lvlText w:val=""/>
      <w:lvlJc w:val="left"/>
      <w:pPr>
        <w:ind w:left="2103" w:hanging="420"/>
      </w:pPr>
      <w:rPr>
        <w:rFonts w:hint="default" w:ascii="Wingdings" w:hAnsi="Wingdings"/>
      </w:rPr>
    </w:lvl>
    <w:lvl w:ilvl="2" w:tentative="0">
      <w:start w:val="1"/>
      <w:numFmt w:val="lowerRoman"/>
      <w:lvlText w:val="%3."/>
      <w:lvlJc w:val="right"/>
      <w:pPr>
        <w:ind w:left="2523" w:hanging="420"/>
      </w:pPr>
    </w:lvl>
    <w:lvl w:ilvl="3" w:tentative="0">
      <w:start w:val="1"/>
      <w:numFmt w:val="decimal"/>
      <w:lvlText w:val="%4."/>
      <w:lvlJc w:val="left"/>
      <w:pPr>
        <w:ind w:left="2943" w:hanging="420"/>
      </w:pPr>
    </w:lvl>
    <w:lvl w:ilvl="4" w:tentative="0">
      <w:start w:val="1"/>
      <w:numFmt w:val="lowerLetter"/>
      <w:lvlText w:val="%5)"/>
      <w:lvlJc w:val="left"/>
      <w:pPr>
        <w:ind w:left="3363" w:hanging="420"/>
      </w:pPr>
    </w:lvl>
    <w:lvl w:ilvl="5" w:tentative="0">
      <w:start w:val="1"/>
      <w:numFmt w:val="lowerRoman"/>
      <w:lvlText w:val="%6."/>
      <w:lvlJc w:val="right"/>
      <w:pPr>
        <w:ind w:left="3783" w:hanging="420"/>
      </w:pPr>
    </w:lvl>
    <w:lvl w:ilvl="6" w:tentative="0">
      <w:start w:val="1"/>
      <w:numFmt w:val="decimal"/>
      <w:lvlText w:val="%7."/>
      <w:lvlJc w:val="left"/>
      <w:pPr>
        <w:ind w:left="4203" w:hanging="420"/>
      </w:pPr>
    </w:lvl>
    <w:lvl w:ilvl="7" w:tentative="0">
      <w:start w:val="1"/>
      <w:numFmt w:val="lowerLetter"/>
      <w:lvlText w:val="%8)"/>
      <w:lvlJc w:val="left"/>
      <w:pPr>
        <w:ind w:left="4623" w:hanging="420"/>
      </w:pPr>
    </w:lvl>
    <w:lvl w:ilvl="8" w:tentative="0">
      <w:start w:val="1"/>
      <w:numFmt w:val="lowerRoman"/>
      <w:lvlText w:val="%9."/>
      <w:lvlJc w:val="right"/>
      <w:pPr>
        <w:ind w:left="5043" w:hanging="420"/>
      </w:pPr>
    </w:lvl>
  </w:abstractNum>
  <w:abstractNum w:abstractNumId="12">
    <w:nsid w:val="1527247C"/>
    <w:multiLevelType w:val="multilevel"/>
    <w:tmpl w:val="1527247C"/>
    <w:lvl w:ilvl="0" w:tentative="0">
      <w:start w:val="1"/>
      <w:numFmt w:val="decimal"/>
      <w:lvlText w:val="%1)"/>
      <w:lvlJc w:val="left"/>
      <w:pPr>
        <w:ind w:left="1260" w:hanging="420"/>
      </w:pPr>
      <w:rPr>
        <w:rFonts w:hint="default"/>
      </w:rPr>
    </w:lvl>
    <w:lvl w:ilvl="1" w:tentative="0">
      <w:start w:val="1"/>
      <w:numFmt w:val="lowerRoman"/>
      <w:lvlText w:val="%2."/>
      <w:lvlJc w:val="right"/>
      <w:pPr>
        <w:ind w:left="1683"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3">
    <w:nsid w:val="17486424"/>
    <w:multiLevelType w:val="multilevel"/>
    <w:tmpl w:val="17486424"/>
    <w:lvl w:ilvl="0" w:tentative="0">
      <w:start w:val="1"/>
      <w:numFmt w:val="lowerRoman"/>
      <w:lvlText w:val="%1."/>
      <w:lvlJc w:val="right"/>
      <w:pPr>
        <w:ind w:left="1683" w:hanging="420"/>
      </w:pPr>
      <w:rPr>
        <w:rFonts w:hint="default"/>
      </w:rPr>
    </w:lvl>
    <w:lvl w:ilvl="1" w:tentative="0">
      <w:start w:val="1"/>
      <w:numFmt w:val="lowerLetter"/>
      <w:lvlText w:val="%2)"/>
      <w:lvlJc w:val="left"/>
      <w:pPr>
        <w:ind w:left="2103" w:hanging="420"/>
      </w:pPr>
    </w:lvl>
    <w:lvl w:ilvl="2" w:tentative="0">
      <w:start w:val="1"/>
      <w:numFmt w:val="lowerRoman"/>
      <w:lvlText w:val="%3."/>
      <w:lvlJc w:val="right"/>
      <w:pPr>
        <w:ind w:left="2523" w:hanging="420"/>
      </w:pPr>
    </w:lvl>
    <w:lvl w:ilvl="3" w:tentative="0">
      <w:start w:val="1"/>
      <w:numFmt w:val="decimal"/>
      <w:lvlText w:val="%4."/>
      <w:lvlJc w:val="left"/>
      <w:pPr>
        <w:ind w:left="2943" w:hanging="420"/>
      </w:pPr>
    </w:lvl>
    <w:lvl w:ilvl="4" w:tentative="0">
      <w:start w:val="1"/>
      <w:numFmt w:val="lowerLetter"/>
      <w:lvlText w:val="%5)"/>
      <w:lvlJc w:val="left"/>
      <w:pPr>
        <w:ind w:left="3363" w:hanging="420"/>
      </w:pPr>
    </w:lvl>
    <w:lvl w:ilvl="5" w:tentative="0">
      <w:start w:val="1"/>
      <w:numFmt w:val="lowerRoman"/>
      <w:lvlText w:val="%6."/>
      <w:lvlJc w:val="right"/>
      <w:pPr>
        <w:ind w:left="3783" w:hanging="420"/>
      </w:pPr>
    </w:lvl>
    <w:lvl w:ilvl="6" w:tentative="0">
      <w:start w:val="1"/>
      <w:numFmt w:val="decimal"/>
      <w:lvlText w:val="%7."/>
      <w:lvlJc w:val="left"/>
      <w:pPr>
        <w:ind w:left="4203" w:hanging="420"/>
      </w:pPr>
    </w:lvl>
    <w:lvl w:ilvl="7" w:tentative="0">
      <w:start w:val="1"/>
      <w:numFmt w:val="lowerLetter"/>
      <w:lvlText w:val="%8)"/>
      <w:lvlJc w:val="left"/>
      <w:pPr>
        <w:ind w:left="4623" w:hanging="420"/>
      </w:pPr>
    </w:lvl>
    <w:lvl w:ilvl="8" w:tentative="0">
      <w:start w:val="1"/>
      <w:numFmt w:val="lowerRoman"/>
      <w:lvlText w:val="%9."/>
      <w:lvlJc w:val="right"/>
      <w:pPr>
        <w:ind w:left="5043" w:hanging="420"/>
      </w:pPr>
    </w:lvl>
  </w:abstractNum>
  <w:abstractNum w:abstractNumId="14">
    <w:nsid w:val="1CE779C8"/>
    <w:multiLevelType w:val="multilevel"/>
    <w:tmpl w:val="1CE779C8"/>
    <w:lvl w:ilvl="0" w:tentative="0">
      <w:start w:val="1"/>
      <w:numFmt w:val="chineseCountingThousand"/>
      <w:lvlText w:val="(%1)"/>
      <w:lvlJc w:val="left"/>
      <w:pPr>
        <w:tabs>
          <w:tab w:val="left" w:pos="780"/>
        </w:tabs>
        <w:ind w:left="780" w:hanging="360"/>
      </w:pPr>
      <w:rPr>
        <w:rFonts w:hint="default"/>
      </w:rPr>
    </w:lvl>
    <w:lvl w:ilvl="1" w:tentative="0">
      <w:start w:val="1"/>
      <w:numFmt w:val="decimal"/>
      <w:lvlText w:val="%2)"/>
      <w:lvlJc w:val="left"/>
      <w:pPr>
        <w:tabs>
          <w:tab w:val="left" w:pos="1260"/>
        </w:tabs>
        <w:ind w:left="1260" w:hanging="420"/>
      </w:pPr>
      <w:rPr>
        <w:rFonts w:hint="default"/>
      </w:r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15">
    <w:nsid w:val="206D29C3"/>
    <w:multiLevelType w:val="multilevel"/>
    <w:tmpl w:val="206D29C3"/>
    <w:lvl w:ilvl="0" w:tentative="0">
      <w:start w:val="1"/>
      <w:numFmt w:val="japaneseCounting"/>
      <w:lvlText w:val="第%1条"/>
      <w:lvlJc w:val="left"/>
      <w:pPr>
        <w:ind w:left="846" w:hanging="420"/>
      </w:pPr>
      <w:rPr>
        <w:rFonts w:hint="default"/>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16">
    <w:nsid w:val="24E9401A"/>
    <w:multiLevelType w:val="multilevel"/>
    <w:tmpl w:val="24E9401A"/>
    <w:lvl w:ilvl="0" w:tentative="0">
      <w:start w:val="1"/>
      <w:numFmt w:val="lowerRoman"/>
      <w:lvlText w:val="%1."/>
      <w:lvlJc w:val="right"/>
      <w:pPr>
        <w:ind w:left="1680" w:hanging="420"/>
      </w:pPr>
    </w:lvl>
    <w:lvl w:ilvl="1" w:tentative="0">
      <w:start w:val="1"/>
      <w:numFmt w:val="lowerLetter"/>
      <w:lvlText w:val="%2)"/>
      <w:lvlJc w:val="left"/>
      <w:pPr>
        <w:ind w:left="2100" w:hanging="420"/>
      </w:pPr>
    </w:lvl>
    <w:lvl w:ilvl="2" w:tentative="0">
      <w:start w:val="1"/>
      <w:numFmt w:val="lowerRoman"/>
      <w:lvlText w:val="%3."/>
      <w:lvlJc w:val="right"/>
      <w:pPr>
        <w:ind w:left="2520" w:hanging="420"/>
      </w:pPr>
    </w:lvl>
    <w:lvl w:ilvl="3" w:tentative="0">
      <w:start w:val="1"/>
      <w:numFmt w:val="decimal"/>
      <w:lvlText w:val="%4."/>
      <w:lvlJc w:val="left"/>
      <w:pPr>
        <w:ind w:left="2940" w:hanging="420"/>
      </w:pPr>
    </w:lvl>
    <w:lvl w:ilvl="4" w:tentative="0">
      <w:start w:val="1"/>
      <w:numFmt w:val="lowerLetter"/>
      <w:lvlText w:val="%5)"/>
      <w:lvlJc w:val="left"/>
      <w:pPr>
        <w:ind w:left="3360" w:hanging="420"/>
      </w:pPr>
    </w:lvl>
    <w:lvl w:ilvl="5" w:tentative="0">
      <w:start w:val="1"/>
      <w:numFmt w:val="lowerRoman"/>
      <w:lvlText w:val="%6."/>
      <w:lvlJc w:val="right"/>
      <w:pPr>
        <w:ind w:left="3780" w:hanging="420"/>
      </w:pPr>
    </w:lvl>
    <w:lvl w:ilvl="6" w:tentative="0">
      <w:start w:val="1"/>
      <w:numFmt w:val="decimal"/>
      <w:lvlText w:val="%7."/>
      <w:lvlJc w:val="left"/>
      <w:pPr>
        <w:ind w:left="4200" w:hanging="420"/>
      </w:pPr>
    </w:lvl>
    <w:lvl w:ilvl="7" w:tentative="0">
      <w:start w:val="1"/>
      <w:numFmt w:val="lowerLetter"/>
      <w:lvlText w:val="%8)"/>
      <w:lvlJc w:val="left"/>
      <w:pPr>
        <w:ind w:left="4620" w:hanging="420"/>
      </w:pPr>
    </w:lvl>
    <w:lvl w:ilvl="8" w:tentative="0">
      <w:start w:val="1"/>
      <w:numFmt w:val="lowerRoman"/>
      <w:lvlText w:val="%9."/>
      <w:lvlJc w:val="right"/>
      <w:pPr>
        <w:ind w:left="5040" w:hanging="420"/>
      </w:pPr>
    </w:lvl>
  </w:abstractNum>
  <w:abstractNum w:abstractNumId="17">
    <w:nsid w:val="3E1A3311"/>
    <w:multiLevelType w:val="multilevel"/>
    <w:tmpl w:val="3E1A3311"/>
    <w:lvl w:ilvl="0" w:tentative="0">
      <w:start w:val="1"/>
      <w:numFmt w:val="chineseCountingThousand"/>
      <w:lvlText w:val="(%1)"/>
      <w:lvlJc w:val="left"/>
      <w:pPr>
        <w:ind w:left="846" w:hanging="420"/>
      </w:pPr>
    </w:lvl>
    <w:lvl w:ilvl="1" w:tentative="0">
      <w:start w:val="1"/>
      <w:numFmt w:val="lowerLetter"/>
      <w:lvlText w:val="%2)"/>
      <w:lvlJc w:val="left"/>
      <w:pPr>
        <w:ind w:left="1266" w:hanging="420"/>
      </w:pPr>
    </w:lvl>
    <w:lvl w:ilvl="2" w:tentative="0">
      <w:start w:val="1"/>
      <w:numFmt w:val="chineseCountingThousand"/>
      <w:lvlText w:val="(%3)"/>
      <w:lvlJc w:val="left"/>
      <w:pPr>
        <w:ind w:left="1686" w:hanging="420"/>
      </w:pPr>
      <w:rPr>
        <w:b w:val="0"/>
      </w:r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18">
    <w:nsid w:val="505C324B"/>
    <w:multiLevelType w:val="multilevel"/>
    <w:tmpl w:val="505C324B"/>
    <w:lvl w:ilvl="0" w:tentative="0">
      <w:start w:val="1"/>
      <w:numFmt w:val="decimal"/>
      <w:lvlText w:val="%1)"/>
      <w:lvlJc w:val="left"/>
      <w:pPr>
        <w:ind w:left="1260" w:hanging="420"/>
      </w:pPr>
      <w:rPr>
        <w:rFonts w:hint="default"/>
      </w:rPr>
    </w:lvl>
    <w:lvl w:ilvl="1" w:tentative="0">
      <w:start w:val="1"/>
      <w:numFmt w:val="lowerRoman"/>
      <w:lvlText w:val="%2."/>
      <w:lvlJc w:val="righ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9">
    <w:nsid w:val="5100438B"/>
    <w:multiLevelType w:val="multilevel"/>
    <w:tmpl w:val="5100438B"/>
    <w:lvl w:ilvl="0" w:tentative="0">
      <w:start w:val="1"/>
      <w:numFmt w:val="chineseCountingThousand"/>
      <w:lvlText w:val="(%1)"/>
      <w:lvlJc w:val="left"/>
      <w:pPr>
        <w:tabs>
          <w:tab w:val="left" w:pos="780"/>
        </w:tabs>
        <w:ind w:left="780" w:hanging="360"/>
      </w:pPr>
      <w:rPr>
        <w:rFonts w:hint="default"/>
      </w:rPr>
    </w:lvl>
    <w:lvl w:ilvl="1" w:tentative="0">
      <w:start w:val="1"/>
      <w:numFmt w:val="decimal"/>
      <w:lvlText w:val="%2)"/>
      <w:lvlJc w:val="left"/>
      <w:pPr>
        <w:tabs>
          <w:tab w:val="left" w:pos="1260"/>
        </w:tabs>
        <w:ind w:left="1260" w:hanging="420"/>
      </w:pPr>
      <w:rPr>
        <w:rFonts w:hint="default"/>
      </w:r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20">
    <w:nsid w:val="535061F4"/>
    <w:multiLevelType w:val="multilevel"/>
    <w:tmpl w:val="535061F4"/>
    <w:lvl w:ilvl="0" w:tentative="0">
      <w:start w:val="1"/>
      <w:numFmt w:val="lowerRoman"/>
      <w:lvlText w:val="%1."/>
      <w:lvlJc w:val="right"/>
      <w:pPr>
        <w:ind w:left="1680" w:hanging="420"/>
      </w:pPr>
    </w:lvl>
    <w:lvl w:ilvl="1" w:tentative="0">
      <w:start w:val="1"/>
      <w:numFmt w:val="lowerLetter"/>
      <w:lvlText w:val="%2)"/>
      <w:lvlJc w:val="left"/>
      <w:pPr>
        <w:ind w:left="2100" w:hanging="420"/>
      </w:pPr>
    </w:lvl>
    <w:lvl w:ilvl="2" w:tentative="0">
      <w:start w:val="1"/>
      <w:numFmt w:val="lowerRoman"/>
      <w:lvlText w:val="%3."/>
      <w:lvlJc w:val="right"/>
      <w:pPr>
        <w:ind w:left="2520" w:hanging="420"/>
      </w:pPr>
    </w:lvl>
    <w:lvl w:ilvl="3" w:tentative="0">
      <w:start w:val="1"/>
      <w:numFmt w:val="decimal"/>
      <w:lvlText w:val="%4."/>
      <w:lvlJc w:val="left"/>
      <w:pPr>
        <w:ind w:left="2940" w:hanging="420"/>
      </w:pPr>
    </w:lvl>
    <w:lvl w:ilvl="4" w:tentative="0">
      <w:start w:val="1"/>
      <w:numFmt w:val="lowerLetter"/>
      <w:lvlText w:val="%5)"/>
      <w:lvlJc w:val="left"/>
      <w:pPr>
        <w:ind w:left="3360" w:hanging="420"/>
      </w:pPr>
    </w:lvl>
    <w:lvl w:ilvl="5" w:tentative="0">
      <w:start w:val="1"/>
      <w:numFmt w:val="lowerRoman"/>
      <w:lvlText w:val="%6."/>
      <w:lvlJc w:val="right"/>
      <w:pPr>
        <w:ind w:left="3780" w:hanging="420"/>
      </w:pPr>
    </w:lvl>
    <w:lvl w:ilvl="6" w:tentative="0">
      <w:start w:val="1"/>
      <w:numFmt w:val="decimal"/>
      <w:lvlText w:val="%7."/>
      <w:lvlJc w:val="left"/>
      <w:pPr>
        <w:ind w:left="4200" w:hanging="420"/>
      </w:pPr>
    </w:lvl>
    <w:lvl w:ilvl="7" w:tentative="0">
      <w:start w:val="1"/>
      <w:numFmt w:val="lowerLetter"/>
      <w:lvlText w:val="%8)"/>
      <w:lvlJc w:val="left"/>
      <w:pPr>
        <w:ind w:left="4620" w:hanging="420"/>
      </w:pPr>
    </w:lvl>
    <w:lvl w:ilvl="8" w:tentative="0">
      <w:start w:val="1"/>
      <w:numFmt w:val="lowerRoman"/>
      <w:lvlText w:val="%9."/>
      <w:lvlJc w:val="right"/>
      <w:pPr>
        <w:ind w:left="5040" w:hanging="420"/>
      </w:pPr>
    </w:lvl>
  </w:abstractNum>
  <w:abstractNum w:abstractNumId="21">
    <w:nsid w:val="54730D26"/>
    <w:multiLevelType w:val="multilevel"/>
    <w:tmpl w:val="54730D26"/>
    <w:lvl w:ilvl="0" w:tentative="0">
      <w:start w:val="1"/>
      <w:numFmt w:val="decimal"/>
      <w:lvlText w:val="%1)"/>
      <w:lvlJc w:val="left"/>
      <w:pPr>
        <w:ind w:left="1260" w:hanging="420"/>
      </w:pPr>
      <w:rPr>
        <w:rFonts w:hint="default"/>
      </w:rPr>
    </w:lvl>
    <w:lvl w:ilvl="1" w:tentative="0">
      <w:start w:val="1"/>
      <w:numFmt w:val="lowerRoman"/>
      <w:lvlText w:val="%2."/>
      <w:lvlJc w:val="right"/>
      <w:pPr>
        <w:ind w:left="1683"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2">
    <w:nsid w:val="55490EA7"/>
    <w:multiLevelType w:val="multilevel"/>
    <w:tmpl w:val="55490EA7"/>
    <w:lvl w:ilvl="0" w:tentative="0">
      <w:start w:val="1"/>
      <w:numFmt w:val="decimal"/>
      <w:lvlText w:val="%1)"/>
      <w:lvlJc w:val="left"/>
      <w:pPr>
        <w:ind w:left="1260" w:hanging="420"/>
      </w:pPr>
      <w:rPr>
        <w:rFonts w:hint="default"/>
      </w:rPr>
    </w:lvl>
    <w:lvl w:ilvl="1" w:tentative="0">
      <w:start w:val="1"/>
      <w:numFmt w:val="lowerRoman"/>
      <w:lvlText w:val="%2."/>
      <w:lvlJc w:val="righ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3">
    <w:nsid w:val="57550E26"/>
    <w:multiLevelType w:val="multilevel"/>
    <w:tmpl w:val="57550E26"/>
    <w:lvl w:ilvl="0" w:tentative="0">
      <w:start w:val="1"/>
      <w:numFmt w:val="chineseCountingThousand"/>
      <w:lvlText w:val="(%1)"/>
      <w:lvlJc w:val="left"/>
      <w:pPr>
        <w:tabs>
          <w:tab w:val="left" w:pos="720"/>
        </w:tabs>
        <w:ind w:left="720" w:hanging="360"/>
      </w:pPr>
      <w:rPr>
        <w:rFonts w:hint="default"/>
      </w:rPr>
    </w:lvl>
    <w:lvl w:ilvl="1" w:tentative="0">
      <w:start w:val="1"/>
      <w:numFmt w:val="decimal"/>
      <w:lvlText w:val="%2)"/>
      <w:lvlJc w:val="left"/>
      <w:pPr>
        <w:tabs>
          <w:tab w:val="left" w:pos="1200"/>
        </w:tabs>
        <w:ind w:left="1200" w:hanging="420"/>
      </w:pPr>
      <w:rPr>
        <w:rFonts w:hint="default"/>
      </w:r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24">
    <w:nsid w:val="5D997143"/>
    <w:multiLevelType w:val="multilevel"/>
    <w:tmpl w:val="5D997143"/>
    <w:lvl w:ilvl="0" w:tentative="0">
      <w:start w:val="1"/>
      <w:numFmt w:val="lowerRoman"/>
      <w:lvlText w:val="%1."/>
      <w:lvlJc w:val="right"/>
      <w:pPr>
        <w:ind w:left="1680" w:hanging="420"/>
      </w:pPr>
    </w:lvl>
    <w:lvl w:ilvl="1" w:tentative="0">
      <w:start w:val="1"/>
      <w:numFmt w:val="lowerLetter"/>
      <w:lvlText w:val="%2)"/>
      <w:lvlJc w:val="left"/>
      <w:pPr>
        <w:ind w:left="2100" w:hanging="420"/>
      </w:pPr>
    </w:lvl>
    <w:lvl w:ilvl="2" w:tentative="0">
      <w:start w:val="1"/>
      <w:numFmt w:val="lowerRoman"/>
      <w:lvlText w:val="%3."/>
      <w:lvlJc w:val="right"/>
      <w:pPr>
        <w:ind w:left="2520" w:hanging="420"/>
      </w:pPr>
    </w:lvl>
    <w:lvl w:ilvl="3" w:tentative="0">
      <w:start w:val="1"/>
      <w:numFmt w:val="decimal"/>
      <w:lvlText w:val="%4."/>
      <w:lvlJc w:val="left"/>
      <w:pPr>
        <w:ind w:left="2940" w:hanging="420"/>
      </w:pPr>
    </w:lvl>
    <w:lvl w:ilvl="4" w:tentative="0">
      <w:start w:val="1"/>
      <w:numFmt w:val="lowerLetter"/>
      <w:lvlText w:val="%5)"/>
      <w:lvlJc w:val="left"/>
      <w:pPr>
        <w:ind w:left="3360" w:hanging="420"/>
      </w:pPr>
    </w:lvl>
    <w:lvl w:ilvl="5" w:tentative="0">
      <w:start w:val="1"/>
      <w:numFmt w:val="lowerRoman"/>
      <w:lvlText w:val="%6."/>
      <w:lvlJc w:val="right"/>
      <w:pPr>
        <w:ind w:left="3780" w:hanging="420"/>
      </w:pPr>
    </w:lvl>
    <w:lvl w:ilvl="6" w:tentative="0">
      <w:start w:val="1"/>
      <w:numFmt w:val="decimal"/>
      <w:lvlText w:val="%7."/>
      <w:lvlJc w:val="left"/>
      <w:pPr>
        <w:ind w:left="4200" w:hanging="420"/>
      </w:pPr>
    </w:lvl>
    <w:lvl w:ilvl="7" w:tentative="0">
      <w:start w:val="1"/>
      <w:numFmt w:val="lowerLetter"/>
      <w:lvlText w:val="%8)"/>
      <w:lvlJc w:val="left"/>
      <w:pPr>
        <w:ind w:left="4620" w:hanging="420"/>
      </w:pPr>
    </w:lvl>
    <w:lvl w:ilvl="8" w:tentative="0">
      <w:start w:val="1"/>
      <w:numFmt w:val="lowerRoman"/>
      <w:lvlText w:val="%9."/>
      <w:lvlJc w:val="right"/>
      <w:pPr>
        <w:ind w:left="5040" w:hanging="420"/>
      </w:pPr>
    </w:lvl>
  </w:abstractNum>
  <w:abstractNum w:abstractNumId="25">
    <w:nsid w:val="6F427719"/>
    <w:multiLevelType w:val="multilevel"/>
    <w:tmpl w:val="6F427719"/>
    <w:lvl w:ilvl="0" w:tentative="0">
      <w:start w:val="1"/>
      <w:numFmt w:val="lowerRoman"/>
      <w:lvlText w:val="%1."/>
      <w:lvlJc w:val="right"/>
      <w:pPr>
        <w:ind w:left="1683" w:hanging="420"/>
      </w:pPr>
    </w:lvl>
    <w:lvl w:ilvl="1" w:tentative="0">
      <w:start w:val="1"/>
      <w:numFmt w:val="lowerLetter"/>
      <w:lvlText w:val="%2)"/>
      <w:lvlJc w:val="left"/>
      <w:pPr>
        <w:ind w:left="2103" w:hanging="420"/>
      </w:pPr>
    </w:lvl>
    <w:lvl w:ilvl="2" w:tentative="0">
      <w:start w:val="1"/>
      <w:numFmt w:val="lowerRoman"/>
      <w:lvlText w:val="%3."/>
      <w:lvlJc w:val="right"/>
      <w:pPr>
        <w:ind w:left="2523" w:hanging="420"/>
      </w:pPr>
    </w:lvl>
    <w:lvl w:ilvl="3" w:tentative="0">
      <w:start w:val="1"/>
      <w:numFmt w:val="decimal"/>
      <w:lvlText w:val="%4."/>
      <w:lvlJc w:val="left"/>
      <w:pPr>
        <w:ind w:left="2943" w:hanging="420"/>
      </w:pPr>
    </w:lvl>
    <w:lvl w:ilvl="4" w:tentative="0">
      <w:start w:val="1"/>
      <w:numFmt w:val="lowerLetter"/>
      <w:lvlText w:val="%5)"/>
      <w:lvlJc w:val="left"/>
      <w:pPr>
        <w:ind w:left="3363" w:hanging="420"/>
      </w:pPr>
    </w:lvl>
    <w:lvl w:ilvl="5" w:tentative="0">
      <w:start w:val="1"/>
      <w:numFmt w:val="lowerRoman"/>
      <w:lvlText w:val="%6."/>
      <w:lvlJc w:val="right"/>
      <w:pPr>
        <w:ind w:left="3783" w:hanging="420"/>
      </w:pPr>
    </w:lvl>
    <w:lvl w:ilvl="6" w:tentative="0">
      <w:start w:val="1"/>
      <w:numFmt w:val="decimal"/>
      <w:lvlText w:val="%7."/>
      <w:lvlJc w:val="left"/>
      <w:pPr>
        <w:ind w:left="4203" w:hanging="420"/>
      </w:pPr>
    </w:lvl>
    <w:lvl w:ilvl="7" w:tentative="0">
      <w:start w:val="1"/>
      <w:numFmt w:val="lowerLetter"/>
      <w:lvlText w:val="%8)"/>
      <w:lvlJc w:val="left"/>
      <w:pPr>
        <w:ind w:left="4623" w:hanging="420"/>
      </w:pPr>
    </w:lvl>
    <w:lvl w:ilvl="8" w:tentative="0">
      <w:start w:val="1"/>
      <w:numFmt w:val="lowerRoman"/>
      <w:lvlText w:val="%9."/>
      <w:lvlJc w:val="right"/>
      <w:pPr>
        <w:ind w:left="5043" w:hanging="420"/>
      </w:pPr>
    </w:lvl>
  </w:abstractNum>
  <w:abstractNum w:abstractNumId="26">
    <w:nsid w:val="75E8046B"/>
    <w:multiLevelType w:val="multilevel"/>
    <w:tmpl w:val="75E8046B"/>
    <w:lvl w:ilvl="0" w:tentative="0">
      <w:start w:val="1"/>
      <w:numFmt w:val="chineseCountingThousand"/>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7">
    <w:nsid w:val="7A7E77F2"/>
    <w:multiLevelType w:val="multilevel"/>
    <w:tmpl w:val="7A7E77F2"/>
    <w:lvl w:ilvl="0" w:tentative="0">
      <w:start w:val="1"/>
      <w:numFmt w:val="lowerRoman"/>
      <w:lvlText w:val="%1."/>
      <w:lvlJc w:val="right"/>
      <w:pPr>
        <w:ind w:left="1683" w:hanging="420"/>
      </w:pPr>
    </w:lvl>
    <w:lvl w:ilvl="1" w:tentative="0">
      <w:start w:val="1"/>
      <w:numFmt w:val="lowerLetter"/>
      <w:lvlText w:val="%2)"/>
      <w:lvlJc w:val="left"/>
      <w:pPr>
        <w:ind w:left="2103" w:hanging="420"/>
      </w:pPr>
    </w:lvl>
    <w:lvl w:ilvl="2" w:tentative="0">
      <w:start w:val="1"/>
      <w:numFmt w:val="lowerRoman"/>
      <w:lvlText w:val="%3."/>
      <w:lvlJc w:val="right"/>
      <w:pPr>
        <w:ind w:left="2523" w:hanging="420"/>
      </w:pPr>
    </w:lvl>
    <w:lvl w:ilvl="3" w:tentative="0">
      <w:start w:val="1"/>
      <w:numFmt w:val="decimal"/>
      <w:lvlText w:val="%4."/>
      <w:lvlJc w:val="left"/>
      <w:pPr>
        <w:ind w:left="2943" w:hanging="420"/>
      </w:pPr>
    </w:lvl>
    <w:lvl w:ilvl="4" w:tentative="0">
      <w:start w:val="1"/>
      <w:numFmt w:val="lowerLetter"/>
      <w:lvlText w:val="%5)"/>
      <w:lvlJc w:val="left"/>
      <w:pPr>
        <w:ind w:left="3363" w:hanging="420"/>
      </w:pPr>
    </w:lvl>
    <w:lvl w:ilvl="5" w:tentative="0">
      <w:start w:val="1"/>
      <w:numFmt w:val="lowerRoman"/>
      <w:lvlText w:val="%6."/>
      <w:lvlJc w:val="right"/>
      <w:pPr>
        <w:ind w:left="3783" w:hanging="420"/>
      </w:pPr>
    </w:lvl>
    <w:lvl w:ilvl="6" w:tentative="0">
      <w:start w:val="1"/>
      <w:numFmt w:val="decimal"/>
      <w:lvlText w:val="%7."/>
      <w:lvlJc w:val="left"/>
      <w:pPr>
        <w:ind w:left="4203" w:hanging="420"/>
      </w:pPr>
    </w:lvl>
    <w:lvl w:ilvl="7" w:tentative="0">
      <w:start w:val="1"/>
      <w:numFmt w:val="lowerLetter"/>
      <w:lvlText w:val="%8)"/>
      <w:lvlJc w:val="left"/>
      <w:pPr>
        <w:ind w:left="4623" w:hanging="420"/>
      </w:pPr>
    </w:lvl>
    <w:lvl w:ilvl="8" w:tentative="0">
      <w:start w:val="1"/>
      <w:numFmt w:val="lowerRoman"/>
      <w:lvlText w:val="%9."/>
      <w:lvlJc w:val="right"/>
      <w:pPr>
        <w:ind w:left="5043" w:hanging="420"/>
      </w:pPr>
    </w:lvl>
  </w:abstractNum>
  <w:abstractNum w:abstractNumId="28">
    <w:nsid w:val="7AF259C5"/>
    <w:multiLevelType w:val="multilevel"/>
    <w:tmpl w:val="7AF259C5"/>
    <w:lvl w:ilvl="0" w:tentative="0">
      <w:start w:val="1"/>
      <w:numFmt w:val="decimal"/>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9">
    <w:nsid w:val="7B02415C"/>
    <w:multiLevelType w:val="multilevel"/>
    <w:tmpl w:val="7B02415C"/>
    <w:lvl w:ilvl="0" w:tentative="0">
      <w:start w:val="1"/>
      <w:numFmt w:val="decimal"/>
      <w:lvlText w:val="%1)"/>
      <w:lvlJc w:val="left"/>
      <w:pPr>
        <w:ind w:left="1260" w:hanging="420"/>
      </w:pPr>
      <w:rPr>
        <w:rFonts w:hint="default"/>
      </w:rPr>
    </w:lvl>
    <w:lvl w:ilvl="1" w:tentative="0">
      <w:start w:val="1"/>
      <w:numFmt w:val="lowerRoman"/>
      <w:lvlText w:val="%2."/>
      <w:lvlJc w:val="righ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0">
    <w:nsid w:val="7EA26FC6"/>
    <w:multiLevelType w:val="multilevel"/>
    <w:tmpl w:val="7EA26FC6"/>
    <w:lvl w:ilvl="0" w:tentative="0">
      <w:start w:val="1"/>
      <w:numFmt w:val="chineseCountingThousand"/>
      <w:lvlText w:val="(%1)"/>
      <w:lvlJc w:val="left"/>
      <w:pPr>
        <w:tabs>
          <w:tab w:val="left" w:pos="840"/>
        </w:tabs>
        <w:ind w:left="840" w:hanging="360"/>
      </w:pPr>
      <w:rPr>
        <w:rFonts w:hint="default"/>
      </w:rPr>
    </w:lvl>
    <w:lvl w:ilvl="1" w:tentative="0">
      <w:start w:val="1"/>
      <w:numFmt w:val="decimal"/>
      <w:lvlText w:val="%2)"/>
      <w:lvlJc w:val="left"/>
      <w:pPr>
        <w:tabs>
          <w:tab w:val="left" w:pos="1320"/>
        </w:tabs>
        <w:ind w:left="1320" w:hanging="420"/>
      </w:pPr>
      <w:rPr>
        <w:rFonts w:hint="default"/>
      </w:r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num w:numId="1">
    <w:abstractNumId w:val="2"/>
  </w:num>
  <w:num w:numId="2">
    <w:abstractNumId w:val="4"/>
  </w:num>
  <w:num w:numId="3">
    <w:abstractNumId w:val="7"/>
  </w:num>
  <w:num w:numId="4">
    <w:abstractNumId w:val="28"/>
  </w:num>
  <w:num w:numId="5">
    <w:abstractNumId w:val="13"/>
  </w:num>
  <w:num w:numId="6">
    <w:abstractNumId w:val="11"/>
  </w:num>
  <w:num w:numId="7">
    <w:abstractNumId w:val="27"/>
  </w:num>
  <w:num w:numId="8">
    <w:abstractNumId w:val="21"/>
  </w:num>
  <w:num w:numId="9">
    <w:abstractNumId w:val="20"/>
  </w:num>
  <w:num w:numId="10">
    <w:abstractNumId w:val="24"/>
  </w:num>
  <w:num w:numId="11">
    <w:abstractNumId w:val="12"/>
  </w:num>
  <w:num w:numId="12">
    <w:abstractNumId w:val="18"/>
  </w:num>
  <w:num w:numId="13">
    <w:abstractNumId w:val="29"/>
  </w:num>
  <w:num w:numId="14">
    <w:abstractNumId w:val="22"/>
  </w:num>
  <w:num w:numId="15">
    <w:abstractNumId w:val="16"/>
  </w:num>
  <w:num w:numId="16">
    <w:abstractNumId w:val="25"/>
  </w:num>
  <w:num w:numId="17">
    <w:abstractNumId w:val="1"/>
  </w:num>
  <w:num w:numId="18">
    <w:abstractNumId w:val="0"/>
  </w:num>
  <w:num w:numId="19">
    <w:abstractNumId w:val="3"/>
  </w:num>
  <w:num w:numId="20">
    <w:abstractNumId w:val="8"/>
  </w:num>
  <w:num w:numId="21">
    <w:abstractNumId w:val="19"/>
  </w:num>
  <w:num w:numId="22">
    <w:abstractNumId w:val="15"/>
  </w:num>
  <w:num w:numId="23">
    <w:abstractNumId w:val="5"/>
  </w:num>
  <w:num w:numId="24">
    <w:abstractNumId w:val="30"/>
  </w:num>
  <w:num w:numId="25">
    <w:abstractNumId w:val="9"/>
  </w:num>
  <w:num w:numId="26">
    <w:abstractNumId w:val="23"/>
  </w:num>
  <w:num w:numId="27">
    <w:abstractNumId w:val="14"/>
  </w:num>
  <w:num w:numId="28">
    <w:abstractNumId w:val="26"/>
  </w:num>
  <w:num w:numId="29">
    <w:abstractNumId w:val="6"/>
  </w:num>
  <w:num w:numId="30">
    <w:abstractNumId w:val="10"/>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czOTU2ODBkYTk3YzgzMTE0ZDM5NTc1N2U3NTIzZmIifQ=="/>
  </w:docVars>
  <w:rsids>
    <w:rsidRoot w:val="00187A27"/>
    <w:rsid w:val="000123F1"/>
    <w:rsid w:val="00015564"/>
    <w:rsid w:val="00037E41"/>
    <w:rsid w:val="000407B3"/>
    <w:rsid w:val="000414F8"/>
    <w:rsid w:val="00042A1B"/>
    <w:rsid w:val="00044B09"/>
    <w:rsid w:val="000514A8"/>
    <w:rsid w:val="000819C1"/>
    <w:rsid w:val="000868DE"/>
    <w:rsid w:val="00097672"/>
    <w:rsid w:val="000A512E"/>
    <w:rsid w:val="000B318B"/>
    <w:rsid w:val="000C39EB"/>
    <w:rsid w:val="000C3D8B"/>
    <w:rsid w:val="000E22D6"/>
    <w:rsid w:val="000F5E2A"/>
    <w:rsid w:val="00100E92"/>
    <w:rsid w:val="00103440"/>
    <w:rsid w:val="001079C3"/>
    <w:rsid w:val="00111DA2"/>
    <w:rsid w:val="00125663"/>
    <w:rsid w:val="00125FBE"/>
    <w:rsid w:val="00140960"/>
    <w:rsid w:val="0015085F"/>
    <w:rsid w:val="00170E08"/>
    <w:rsid w:val="00174689"/>
    <w:rsid w:val="0018096F"/>
    <w:rsid w:val="00187A27"/>
    <w:rsid w:val="001B7E8C"/>
    <w:rsid w:val="001D35BE"/>
    <w:rsid w:val="001D3AC6"/>
    <w:rsid w:val="001D68E5"/>
    <w:rsid w:val="001E0EEB"/>
    <w:rsid w:val="001F410D"/>
    <w:rsid w:val="001F48A6"/>
    <w:rsid w:val="001F4BEB"/>
    <w:rsid w:val="002004F4"/>
    <w:rsid w:val="00200FBA"/>
    <w:rsid w:val="00202DBC"/>
    <w:rsid w:val="00207CC4"/>
    <w:rsid w:val="00213FDE"/>
    <w:rsid w:val="00215E8C"/>
    <w:rsid w:val="00216F60"/>
    <w:rsid w:val="00227A46"/>
    <w:rsid w:val="00237CC5"/>
    <w:rsid w:val="0024004A"/>
    <w:rsid w:val="002529E6"/>
    <w:rsid w:val="00253FE7"/>
    <w:rsid w:val="002823C0"/>
    <w:rsid w:val="002917BA"/>
    <w:rsid w:val="00292840"/>
    <w:rsid w:val="00295BB7"/>
    <w:rsid w:val="002976C8"/>
    <w:rsid w:val="002E74A8"/>
    <w:rsid w:val="002F0487"/>
    <w:rsid w:val="003107C3"/>
    <w:rsid w:val="003224C6"/>
    <w:rsid w:val="00322779"/>
    <w:rsid w:val="00324C8F"/>
    <w:rsid w:val="00330C1E"/>
    <w:rsid w:val="00333D00"/>
    <w:rsid w:val="0035588C"/>
    <w:rsid w:val="0038422C"/>
    <w:rsid w:val="003966FD"/>
    <w:rsid w:val="003A5DF5"/>
    <w:rsid w:val="003B4E74"/>
    <w:rsid w:val="003C68D2"/>
    <w:rsid w:val="003C6944"/>
    <w:rsid w:val="003D7293"/>
    <w:rsid w:val="003E13E3"/>
    <w:rsid w:val="00410428"/>
    <w:rsid w:val="004111D4"/>
    <w:rsid w:val="004248E4"/>
    <w:rsid w:val="004348F6"/>
    <w:rsid w:val="00450334"/>
    <w:rsid w:val="00461FEF"/>
    <w:rsid w:val="00464848"/>
    <w:rsid w:val="00474EC2"/>
    <w:rsid w:val="00475F67"/>
    <w:rsid w:val="00481A5D"/>
    <w:rsid w:val="00484D47"/>
    <w:rsid w:val="0048574B"/>
    <w:rsid w:val="004A737E"/>
    <w:rsid w:val="004D2603"/>
    <w:rsid w:val="004E3551"/>
    <w:rsid w:val="004E6839"/>
    <w:rsid w:val="004E7214"/>
    <w:rsid w:val="004F65B4"/>
    <w:rsid w:val="004F79F5"/>
    <w:rsid w:val="00500FE5"/>
    <w:rsid w:val="00505C66"/>
    <w:rsid w:val="00513C86"/>
    <w:rsid w:val="00514906"/>
    <w:rsid w:val="005166FD"/>
    <w:rsid w:val="005510E5"/>
    <w:rsid w:val="005572AC"/>
    <w:rsid w:val="00562373"/>
    <w:rsid w:val="0057114C"/>
    <w:rsid w:val="005721A4"/>
    <w:rsid w:val="00581AB1"/>
    <w:rsid w:val="0058481C"/>
    <w:rsid w:val="005A44F2"/>
    <w:rsid w:val="005B7F40"/>
    <w:rsid w:val="005C600C"/>
    <w:rsid w:val="005D301C"/>
    <w:rsid w:val="005F0FF0"/>
    <w:rsid w:val="005F18FE"/>
    <w:rsid w:val="0060316C"/>
    <w:rsid w:val="00605880"/>
    <w:rsid w:val="00613283"/>
    <w:rsid w:val="006166DC"/>
    <w:rsid w:val="00641F3D"/>
    <w:rsid w:val="00656DC7"/>
    <w:rsid w:val="00682C30"/>
    <w:rsid w:val="006912E4"/>
    <w:rsid w:val="006B73ED"/>
    <w:rsid w:val="006B7897"/>
    <w:rsid w:val="006C2B89"/>
    <w:rsid w:val="006C3F58"/>
    <w:rsid w:val="006D315F"/>
    <w:rsid w:val="006E2735"/>
    <w:rsid w:val="006E35E2"/>
    <w:rsid w:val="006F1B56"/>
    <w:rsid w:val="0070019A"/>
    <w:rsid w:val="0070275E"/>
    <w:rsid w:val="00711576"/>
    <w:rsid w:val="0071696B"/>
    <w:rsid w:val="007236B3"/>
    <w:rsid w:val="007349BC"/>
    <w:rsid w:val="007418A6"/>
    <w:rsid w:val="007422E7"/>
    <w:rsid w:val="007435B9"/>
    <w:rsid w:val="007440F2"/>
    <w:rsid w:val="007456FB"/>
    <w:rsid w:val="0075430E"/>
    <w:rsid w:val="0075527C"/>
    <w:rsid w:val="007748A7"/>
    <w:rsid w:val="007842E6"/>
    <w:rsid w:val="007856DE"/>
    <w:rsid w:val="00786B44"/>
    <w:rsid w:val="00791B31"/>
    <w:rsid w:val="007A3357"/>
    <w:rsid w:val="007B0D74"/>
    <w:rsid w:val="007B103C"/>
    <w:rsid w:val="007B1A5A"/>
    <w:rsid w:val="007C3A16"/>
    <w:rsid w:val="007D4F0F"/>
    <w:rsid w:val="007E659E"/>
    <w:rsid w:val="007F04E2"/>
    <w:rsid w:val="007F0C5D"/>
    <w:rsid w:val="008079CE"/>
    <w:rsid w:val="00812615"/>
    <w:rsid w:val="00813B57"/>
    <w:rsid w:val="00817F0D"/>
    <w:rsid w:val="00820553"/>
    <w:rsid w:val="00826610"/>
    <w:rsid w:val="00827DF4"/>
    <w:rsid w:val="00846B44"/>
    <w:rsid w:val="0085268D"/>
    <w:rsid w:val="008532E7"/>
    <w:rsid w:val="0086457D"/>
    <w:rsid w:val="00865C7A"/>
    <w:rsid w:val="008674AD"/>
    <w:rsid w:val="00872ACB"/>
    <w:rsid w:val="00876428"/>
    <w:rsid w:val="00882860"/>
    <w:rsid w:val="008B1206"/>
    <w:rsid w:val="008B4B9C"/>
    <w:rsid w:val="008B4D0C"/>
    <w:rsid w:val="008F0A9A"/>
    <w:rsid w:val="008F3190"/>
    <w:rsid w:val="00900458"/>
    <w:rsid w:val="00902F7D"/>
    <w:rsid w:val="009213ED"/>
    <w:rsid w:val="009305D1"/>
    <w:rsid w:val="009346E9"/>
    <w:rsid w:val="009658DF"/>
    <w:rsid w:val="00970CFA"/>
    <w:rsid w:val="00972198"/>
    <w:rsid w:val="009737FB"/>
    <w:rsid w:val="0097579A"/>
    <w:rsid w:val="00976AFA"/>
    <w:rsid w:val="009A339D"/>
    <w:rsid w:val="009B37DA"/>
    <w:rsid w:val="009D2148"/>
    <w:rsid w:val="009D7875"/>
    <w:rsid w:val="009F2B3A"/>
    <w:rsid w:val="00A034B2"/>
    <w:rsid w:val="00A04277"/>
    <w:rsid w:val="00A059B7"/>
    <w:rsid w:val="00A278FC"/>
    <w:rsid w:val="00A31342"/>
    <w:rsid w:val="00A352FA"/>
    <w:rsid w:val="00A4561A"/>
    <w:rsid w:val="00A45678"/>
    <w:rsid w:val="00A65A0E"/>
    <w:rsid w:val="00A8200C"/>
    <w:rsid w:val="00A97BF4"/>
    <w:rsid w:val="00AA2C25"/>
    <w:rsid w:val="00AB3F44"/>
    <w:rsid w:val="00AC1944"/>
    <w:rsid w:val="00AD0DE4"/>
    <w:rsid w:val="00AD465B"/>
    <w:rsid w:val="00AF2696"/>
    <w:rsid w:val="00B02535"/>
    <w:rsid w:val="00B143C3"/>
    <w:rsid w:val="00B2720E"/>
    <w:rsid w:val="00B43583"/>
    <w:rsid w:val="00B43FBD"/>
    <w:rsid w:val="00B45CAC"/>
    <w:rsid w:val="00B6065A"/>
    <w:rsid w:val="00B622B5"/>
    <w:rsid w:val="00B90535"/>
    <w:rsid w:val="00B94D13"/>
    <w:rsid w:val="00BB032C"/>
    <w:rsid w:val="00BB0476"/>
    <w:rsid w:val="00BD4B1B"/>
    <w:rsid w:val="00BE4B10"/>
    <w:rsid w:val="00BE64CC"/>
    <w:rsid w:val="00BF166E"/>
    <w:rsid w:val="00BF4B06"/>
    <w:rsid w:val="00BF5F1D"/>
    <w:rsid w:val="00C20CAE"/>
    <w:rsid w:val="00C66EE9"/>
    <w:rsid w:val="00C76670"/>
    <w:rsid w:val="00C81F9A"/>
    <w:rsid w:val="00C9264D"/>
    <w:rsid w:val="00C955AF"/>
    <w:rsid w:val="00CB222D"/>
    <w:rsid w:val="00CF1BF0"/>
    <w:rsid w:val="00CF22B5"/>
    <w:rsid w:val="00CF69DB"/>
    <w:rsid w:val="00D00095"/>
    <w:rsid w:val="00D041BC"/>
    <w:rsid w:val="00D06CEA"/>
    <w:rsid w:val="00D10D1C"/>
    <w:rsid w:val="00D319F2"/>
    <w:rsid w:val="00D470B0"/>
    <w:rsid w:val="00D56EA9"/>
    <w:rsid w:val="00D6314A"/>
    <w:rsid w:val="00D83FF1"/>
    <w:rsid w:val="00D9320E"/>
    <w:rsid w:val="00DA0EA8"/>
    <w:rsid w:val="00DC4820"/>
    <w:rsid w:val="00DC54DB"/>
    <w:rsid w:val="00DD0C43"/>
    <w:rsid w:val="00DD7217"/>
    <w:rsid w:val="00E065F2"/>
    <w:rsid w:val="00E10390"/>
    <w:rsid w:val="00E128C5"/>
    <w:rsid w:val="00E12949"/>
    <w:rsid w:val="00E1356C"/>
    <w:rsid w:val="00E34AF4"/>
    <w:rsid w:val="00E3539C"/>
    <w:rsid w:val="00E3588F"/>
    <w:rsid w:val="00E42F87"/>
    <w:rsid w:val="00E55E8B"/>
    <w:rsid w:val="00E67BF5"/>
    <w:rsid w:val="00E771F0"/>
    <w:rsid w:val="00E86B80"/>
    <w:rsid w:val="00E901C3"/>
    <w:rsid w:val="00E94198"/>
    <w:rsid w:val="00EF38AB"/>
    <w:rsid w:val="00F02891"/>
    <w:rsid w:val="00F02C30"/>
    <w:rsid w:val="00F04AF5"/>
    <w:rsid w:val="00F0643F"/>
    <w:rsid w:val="00F15CF5"/>
    <w:rsid w:val="00F25724"/>
    <w:rsid w:val="00F31A41"/>
    <w:rsid w:val="00F4451A"/>
    <w:rsid w:val="00F65DCC"/>
    <w:rsid w:val="00F73A4D"/>
    <w:rsid w:val="00F81A92"/>
    <w:rsid w:val="00F94DF7"/>
    <w:rsid w:val="00F96879"/>
    <w:rsid w:val="00FA33CC"/>
    <w:rsid w:val="00FA695F"/>
    <w:rsid w:val="00FC1A1F"/>
    <w:rsid w:val="00FC57FF"/>
    <w:rsid w:val="00FD6587"/>
    <w:rsid w:val="00FF7430"/>
    <w:rsid w:val="05AB1FA9"/>
    <w:rsid w:val="0C565B48"/>
    <w:rsid w:val="0F357C01"/>
    <w:rsid w:val="11D50CC6"/>
    <w:rsid w:val="129A0611"/>
    <w:rsid w:val="1ED713EE"/>
    <w:rsid w:val="2D306F11"/>
    <w:rsid w:val="30B05F05"/>
    <w:rsid w:val="3A7E0E22"/>
    <w:rsid w:val="3AD722D6"/>
    <w:rsid w:val="45F428E0"/>
    <w:rsid w:val="543945EF"/>
    <w:rsid w:val="56467514"/>
    <w:rsid w:val="649D19E3"/>
    <w:rsid w:val="682664D1"/>
    <w:rsid w:val="6DA92D7B"/>
    <w:rsid w:val="71080739"/>
    <w:rsid w:val="72784E36"/>
    <w:rsid w:val="7E1A38FE"/>
    <w:rsid w:val="7E765B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link w:val="16"/>
    <w:qFormat/>
    <w:uiPriority w:val="9"/>
    <w:pPr>
      <w:keepNext/>
      <w:keepLines/>
      <w:numPr>
        <w:ilvl w:val="0"/>
        <w:numId w:val="1"/>
      </w:numPr>
      <w:spacing w:before="340" w:after="330" w:line="578" w:lineRule="auto"/>
      <w:outlineLvl w:val="0"/>
    </w:pPr>
    <w:rPr>
      <w:b/>
      <w:bCs/>
      <w:kern w:val="44"/>
      <w:sz w:val="44"/>
      <w:szCs w:val="44"/>
    </w:rPr>
  </w:style>
  <w:style w:type="paragraph" w:styleId="3">
    <w:name w:val="heading 2"/>
    <w:basedOn w:val="1"/>
    <w:next w:val="1"/>
    <w:link w:val="27"/>
    <w:unhideWhenUsed/>
    <w:qFormat/>
    <w:uiPriority w:val="9"/>
    <w:pPr>
      <w:keepNext/>
      <w:keepLines/>
      <w:spacing w:before="260" w:after="260" w:line="416" w:lineRule="auto"/>
      <w:ind w:left="100" w:leftChars="100" w:right="240" w:rightChars="100"/>
      <w:outlineLvl w:val="1"/>
    </w:pPr>
    <w:rPr>
      <w:rFonts w:ascii="Cambria" w:hAnsi="Cambria"/>
      <w:b/>
      <w:bCs/>
      <w:sz w:val="30"/>
      <w:szCs w:val="32"/>
    </w:rPr>
  </w:style>
  <w:style w:type="paragraph" w:styleId="4">
    <w:name w:val="heading 3"/>
    <w:basedOn w:val="1"/>
    <w:next w:val="1"/>
    <w:link w:val="24"/>
    <w:unhideWhenUsed/>
    <w:qFormat/>
    <w:uiPriority w:val="9"/>
    <w:pPr>
      <w:keepNext/>
      <w:keepLines/>
      <w:spacing w:before="260" w:after="260" w:line="416" w:lineRule="auto"/>
      <w:ind w:left="240" w:leftChars="100" w:right="240" w:rightChars="100"/>
      <w:outlineLvl w:val="2"/>
    </w:pPr>
    <w:rPr>
      <w:b/>
      <w:bCs/>
      <w:sz w:val="28"/>
      <w:szCs w:val="32"/>
    </w:rPr>
  </w:style>
  <w:style w:type="paragraph" w:styleId="5">
    <w:name w:val="heading 4"/>
    <w:basedOn w:val="1"/>
    <w:next w:val="1"/>
    <w:link w:val="29"/>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link w:val="22"/>
    <w:qFormat/>
    <w:uiPriority w:val="99"/>
  </w:style>
  <w:style w:type="paragraph" w:styleId="7">
    <w:name w:val="Balloon Text"/>
    <w:basedOn w:val="1"/>
    <w:link w:val="21"/>
    <w:qFormat/>
    <w:uiPriority w:val="99"/>
    <w:rPr>
      <w:sz w:val="18"/>
      <w:szCs w:val="18"/>
    </w:rPr>
  </w:style>
  <w:style w:type="paragraph" w:styleId="8">
    <w:name w:val="footer"/>
    <w:basedOn w:val="1"/>
    <w:link w:val="17"/>
    <w:qFormat/>
    <w:uiPriority w:val="0"/>
    <w:pPr>
      <w:tabs>
        <w:tab w:val="center" w:pos="4153"/>
        <w:tab w:val="right" w:pos="8306"/>
      </w:tabs>
      <w:snapToGrid w:val="0"/>
    </w:pPr>
    <w:rPr>
      <w:sz w:val="18"/>
      <w:szCs w:val="18"/>
    </w:rPr>
  </w:style>
  <w:style w:type="paragraph" w:styleId="9">
    <w:name w:val="header"/>
    <w:basedOn w:val="1"/>
    <w:link w:val="20"/>
    <w:qFormat/>
    <w:uiPriority w:val="99"/>
    <w:pPr>
      <w:pBdr>
        <w:bottom w:val="single" w:color="auto" w:sz="6" w:space="1"/>
      </w:pBdr>
      <w:tabs>
        <w:tab w:val="center" w:pos="4153"/>
        <w:tab w:val="right" w:pos="8306"/>
      </w:tabs>
      <w:snapToGrid w:val="0"/>
      <w:jc w:val="center"/>
    </w:pPr>
    <w:rPr>
      <w:sz w:val="18"/>
      <w:szCs w:val="18"/>
    </w:rPr>
  </w:style>
  <w:style w:type="paragraph" w:styleId="10">
    <w:name w:val="Subtitle"/>
    <w:basedOn w:val="1"/>
    <w:next w:val="1"/>
    <w:qFormat/>
    <w:uiPriority w:val="0"/>
    <w:pPr>
      <w:spacing w:before="240" w:after="60" w:line="312" w:lineRule="auto"/>
      <w:jc w:val="center"/>
      <w:outlineLvl w:val="1"/>
    </w:pPr>
    <w:rPr>
      <w:rFonts w:ascii="Cambria" w:hAnsi="Cambria"/>
      <w:b/>
      <w:bCs/>
      <w:kern w:val="28"/>
      <w:sz w:val="32"/>
      <w:szCs w:val="32"/>
      <w:lang w:eastAsia="en-US"/>
    </w:rPr>
  </w:style>
  <w:style w:type="paragraph" w:styleId="11">
    <w:name w:val="annotation subject"/>
    <w:basedOn w:val="6"/>
    <w:next w:val="6"/>
    <w:link w:val="23"/>
    <w:qFormat/>
    <w:uiPriority w:val="99"/>
    <w:rPr>
      <w:b/>
      <w:bCs/>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annotation reference"/>
    <w:basedOn w:val="14"/>
    <w:qFormat/>
    <w:uiPriority w:val="99"/>
    <w:rPr>
      <w:sz w:val="21"/>
      <w:szCs w:val="21"/>
    </w:rPr>
  </w:style>
  <w:style w:type="character" w:customStyle="1" w:styleId="16">
    <w:name w:val="标题 1 字符"/>
    <w:basedOn w:val="14"/>
    <w:link w:val="2"/>
    <w:qFormat/>
    <w:uiPriority w:val="9"/>
    <w:rPr>
      <w:rFonts w:ascii="宋体" w:hAnsi="宋体"/>
      <w:b/>
      <w:bCs/>
      <w:kern w:val="44"/>
      <w:sz w:val="44"/>
      <w:szCs w:val="44"/>
    </w:rPr>
  </w:style>
  <w:style w:type="character" w:customStyle="1" w:styleId="17">
    <w:name w:val="页脚 字符"/>
    <w:basedOn w:val="14"/>
    <w:link w:val="8"/>
    <w:qFormat/>
    <w:uiPriority w:val="0"/>
    <w:rPr>
      <w:rFonts w:ascii="Times New Roman" w:hAnsi="Times New Roman" w:eastAsia="宋体" w:cs="Times New Roman"/>
      <w:sz w:val="18"/>
      <w:szCs w:val="18"/>
    </w:rPr>
  </w:style>
  <w:style w:type="character" w:customStyle="1" w:styleId="18">
    <w:name w:val="列出段落 字符"/>
    <w:link w:val="19"/>
    <w:qFormat/>
    <w:uiPriority w:val="34"/>
    <w:rPr>
      <w:rFonts w:ascii="等线" w:hAnsi="等线" w:eastAsia="等线"/>
    </w:rPr>
  </w:style>
  <w:style w:type="paragraph" w:styleId="19">
    <w:name w:val="List Paragraph"/>
    <w:basedOn w:val="1"/>
    <w:link w:val="18"/>
    <w:qFormat/>
    <w:uiPriority w:val="34"/>
    <w:pPr>
      <w:ind w:firstLine="420" w:firstLineChars="200"/>
    </w:pPr>
    <w:rPr>
      <w:rFonts w:ascii="等线" w:hAnsi="等线" w:eastAsia="等线"/>
      <w:szCs w:val="22"/>
    </w:rPr>
  </w:style>
  <w:style w:type="character" w:customStyle="1" w:styleId="20">
    <w:name w:val="页眉 字符"/>
    <w:basedOn w:val="14"/>
    <w:link w:val="9"/>
    <w:qFormat/>
    <w:uiPriority w:val="99"/>
    <w:rPr>
      <w:rFonts w:ascii="Times New Roman" w:hAnsi="Times New Roman" w:eastAsia="宋体" w:cs="Times New Roman"/>
      <w:sz w:val="18"/>
      <w:szCs w:val="18"/>
    </w:rPr>
  </w:style>
  <w:style w:type="character" w:customStyle="1" w:styleId="21">
    <w:name w:val="批注框文本 字符"/>
    <w:basedOn w:val="14"/>
    <w:link w:val="7"/>
    <w:qFormat/>
    <w:uiPriority w:val="99"/>
    <w:rPr>
      <w:rFonts w:ascii="Times New Roman" w:hAnsi="Times New Roman" w:eastAsia="宋体" w:cs="Times New Roman"/>
      <w:kern w:val="2"/>
      <w:sz w:val="18"/>
      <w:szCs w:val="18"/>
    </w:rPr>
  </w:style>
  <w:style w:type="character" w:customStyle="1" w:styleId="22">
    <w:name w:val="批注文字 字符"/>
    <w:basedOn w:val="14"/>
    <w:link w:val="6"/>
    <w:qFormat/>
    <w:uiPriority w:val="99"/>
    <w:rPr>
      <w:rFonts w:ascii="Times New Roman" w:hAnsi="Times New Roman" w:eastAsia="宋体" w:cs="Times New Roman"/>
      <w:kern w:val="2"/>
      <w:sz w:val="21"/>
      <w:szCs w:val="24"/>
    </w:rPr>
  </w:style>
  <w:style w:type="character" w:customStyle="1" w:styleId="23">
    <w:name w:val="批注主题 字符"/>
    <w:basedOn w:val="22"/>
    <w:link w:val="11"/>
    <w:qFormat/>
    <w:uiPriority w:val="99"/>
    <w:rPr>
      <w:rFonts w:ascii="Times New Roman" w:hAnsi="Times New Roman" w:eastAsia="宋体" w:cs="Times New Roman"/>
      <w:b/>
      <w:bCs/>
      <w:kern w:val="2"/>
      <w:sz w:val="21"/>
      <w:szCs w:val="24"/>
    </w:rPr>
  </w:style>
  <w:style w:type="character" w:customStyle="1" w:styleId="24">
    <w:name w:val="标题 3 字符"/>
    <w:basedOn w:val="14"/>
    <w:link w:val="4"/>
    <w:qFormat/>
    <w:uiPriority w:val="9"/>
    <w:rPr>
      <w:rFonts w:ascii="宋体" w:hAnsi="宋体"/>
      <w:b/>
      <w:bCs/>
      <w:sz w:val="28"/>
      <w:szCs w:val="32"/>
    </w:rPr>
  </w:style>
  <w:style w:type="character" w:customStyle="1" w:styleId="25">
    <w:name w:val="markedcontent"/>
    <w:basedOn w:val="14"/>
    <w:qFormat/>
    <w:uiPriority w:val="0"/>
  </w:style>
  <w:style w:type="paragraph" w:customStyle="1" w:styleId="26">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7">
    <w:name w:val="标题 2 字符"/>
    <w:basedOn w:val="14"/>
    <w:link w:val="3"/>
    <w:qFormat/>
    <w:uiPriority w:val="9"/>
    <w:rPr>
      <w:rFonts w:ascii="Cambria" w:hAnsi="Cambria"/>
      <w:b/>
      <w:bCs/>
      <w:sz w:val="30"/>
      <w:szCs w:val="32"/>
    </w:rPr>
  </w:style>
  <w:style w:type="paragraph" w:customStyle="1" w:styleId="28">
    <w:name w:val="Revision"/>
    <w:hidden/>
    <w:semiHidden/>
    <w:qFormat/>
    <w:uiPriority w:val="99"/>
    <w:rPr>
      <w:rFonts w:ascii="宋体" w:hAnsi="宋体" w:eastAsia="宋体" w:cs="宋体"/>
      <w:sz w:val="24"/>
      <w:szCs w:val="24"/>
      <w:lang w:val="en-US" w:eastAsia="zh-CN" w:bidi="ar-SA"/>
    </w:rPr>
  </w:style>
  <w:style w:type="character" w:customStyle="1" w:styleId="29">
    <w:name w:val="标题 4 字符"/>
    <w:basedOn w:val="14"/>
    <w:link w:val="5"/>
    <w:qFormat/>
    <w:uiPriority w:val="9"/>
    <w:rPr>
      <w:rFonts w:asciiTheme="majorHAnsi" w:hAnsiTheme="majorHAnsi" w:eastAsiaTheme="majorEastAsia" w:cstheme="majorBidi"/>
      <w:b/>
      <w:bCs/>
      <w:sz w:val="24"/>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722BB-081D-4274-B9E0-34737BE3745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16</Pages>
  <Words>10491</Words>
  <Characters>10679</Characters>
  <Lines>80</Lines>
  <Paragraphs>22</Paragraphs>
  <TotalTime>5</TotalTime>
  <ScaleCrop>false</ScaleCrop>
  <LinksUpToDate>false</LinksUpToDate>
  <CharactersWithSpaces>10689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2022-08-28T09:28:00Z</dcterms:created>
  <dc:creator>netuser</dc:creator>
  <cp:lastModifiedBy>salmon</cp:lastModifiedBy>
  <cp:lastPrinted>2022-07-11T08:30:00Z</cp:lastPrinted>
  <dcterms:modified xsi:type="dcterms:W3CDTF">2022-09-20T01:02:31Z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5E3C380CCA534E6D940E0E807656D503</vt:lpwstr>
  </property>
</Properties>
</file>